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98317" w14:textId="7B0BB8F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270E9">
        <w:t>4</w:t>
      </w:r>
      <w:r w:rsidR="00F20F5C">
        <w:t>e</w:t>
      </w:r>
      <w:r w:rsidRPr="00CE0424">
        <w:tab/>
      </w:r>
      <w:r w:rsidRPr="00CE0424">
        <w:rPr>
          <w:sz w:val="32"/>
          <w:szCs w:val="32"/>
        </w:rPr>
        <w:t xml:space="preserve">Tdoc </w:t>
      </w:r>
      <w:r w:rsidR="00091557" w:rsidRPr="00CE0424">
        <w:rPr>
          <w:sz w:val="32"/>
          <w:szCs w:val="32"/>
        </w:rPr>
        <w:t>R2-</w:t>
      </w:r>
      <w:r w:rsidR="00F20F5C">
        <w:rPr>
          <w:sz w:val="32"/>
          <w:szCs w:val="32"/>
        </w:rPr>
        <w:t>2</w:t>
      </w:r>
      <w:r w:rsidR="002270E9">
        <w:rPr>
          <w:sz w:val="32"/>
          <w:szCs w:val="32"/>
        </w:rPr>
        <w:t>1</w:t>
      </w:r>
      <w:r w:rsidR="009626A3" w:rsidRPr="009626A3">
        <w:rPr>
          <w:sz w:val="32"/>
          <w:szCs w:val="32"/>
        </w:rPr>
        <w:t>04933</w:t>
      </w:r>
    </w:p>
    <w:p w14:paraId="3B06DE40" w14:textId="77777777" w:rsidR="00E90E49" w:rsidRPr="00CE0424" w:rsidRDefault="00C268E6" w:rsidP="00311702">
      <w:pPr>
        <w:pStyle w:val="3GPPHeader"/>
      </w:pPr>
      <w:r>
        <w:t xml:space="preserve">Electronic meeting, </w:t>
      </w:r>
      <w:r w:rsidR="002270E9" w:rsidRPr="002270E9">
        <w:t>2021-05-19 - 2021-05-27</w:t>
      </w:r>
    </w:p>
    <w:p w14:paraId="11890F60" w14:textId="77777777" w:rsidR="00E90E49" w:rsidRPr="00CE0424" w:rsidRDefault="00E90E49" w:rsidP="00357380">
      <w:pPr>
        <w:pStyle w:val="3GPPHeader"/>
      </w:pPr>
    </w:p>
    <w:p w14:paraId="521F8C59" w14:textId="0A3AB84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26617" w:rsidRPr="00E26617">
        <w:rPr>
          <w:sz w:val="22"/>
          <w:szCs w:val="22"/>
        </w:rPr>
        <w:t>8.18 NR R17 Other</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469C47FB" w:rsidR="00E90E49" w:rsidRPr="00CE0424" w:rsidRDefault="003D3C45" w:rsidP="00311702">
      <w:pPr>
        <w:pStyle w:val="3GPPHeader"/>
        <w:rPr>
          <w:sz w:val="22"/>
          <w:szCs w:val="22"/>
        </w:rPr>
      </w:pPr>
      <w:r>
        <w:rPr>
          <w:sz w:val="22"/>
          <w:szCs w:val="22"/>
        </w:rPr>
        <w:t>Title:</w:t>
      </w:r>
      <w:r w:rsidR="00E90E49" w:rsidRPr="00CE0424">
        <w:rPr>
          <w:sz w:val="22"/>
          <w:szCs w:val="22"/>
        </w:rPr>
        <w:tab/>
      </w:r>
      <w:r w:rsidR="00E812C5">
        <w:rPr>
          <w:sz w:val="22"/>
          <w:szCs w:val="22"/>
        </w:rPr>
        <w:t>RACH partitioning for Rel-17 features</w:t>
      </w:r>
    </w:p>
    <w:p w14:paraId="0533C279" w14:textId="449D8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2DB84DF0" w14:textId="77777777" w:rsidR="00E90E49" w:rsidRPr="00CE0424" w:rsidRDefault="00E90E49" w:rsidP="00E90E49"/>
    <w:p w14:paraId="1292A996" w14:textId="77777777" w:rsidR="00E90E49" w:rsidRPr="00CE0424" w:rsidRDefault="00230D18" w:rsidP="00CE0424">
      <w:pPr>
        <w:pStyle w:val="Heading1"/>
      </w:pPr>
      <w:r>
        <w:t>1</w:t>
      </w:r>
      <w:r>
        <w:tab/>
      </w:r>
      <w:r w:rsidR="00E90E49" w:rsidRPr="00CE0424">
        <w:t>Introduction</w:t>
      </w:r>
    </w:p>
    <w:p w14:paraId="15357CA0" w14:textId="2B8A6B43"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some general aspects of RACH partitioning and </w:t>
      </w:r>
      <w:r w:rsidR="0060563B">
        <w:t>describe what a common solution for RACH partitioning for the Rel-17 features might look like.</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A42DF1" w:rsidRDefault="00E10E91" w:rsidP="00E10E91">
            <w:pPr>
              <w:overflowPunct/>
              <w:autoSpaceDE/>
              <w:autoSpaceDN/>
              <w:adjustRightInd/>
              <w:spacing w:after="0"/>
              <w:textAlignment w:val="auto"/>
              <w:rPr>
                <w:rFonts w:ascii="Arial" w:hAnsi="Arial" w:cs="Arial"/>
                <w:b/>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A42DF1" w:rsidRDefault="00E10E91" w:rsidP="00E10E91">
            <w:pPr>
              <w:overflowPunct/>
              <w:autoSpaceDE/>
              <w:autoSpaceDN/>
              <w:adjustRightInd/>
              <w:spacing w:after="0"/>
              <w:textAlignment w:val="auto"/>
              <w:rPr>
                <w:rFonts w:ascii="Arial" w:hAnsi="Arial" w:cs="Arial"/>
                <w:b/>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6A97D4D3" w:rsidR="00E10E91" w:rsidRPr="00A42DF1" w:rsidRDefault="00E10E91" w:rsidP="00E10E91">
            <w:pPr>
              <w:overflowPunct/>
              <w:autoSpaceDE/>
              <w:autoSpaceDN/>
              <w:adjustRightInd/>
              <w:spacing w:after="0"/>
              <w:textAlignment w:val="auto"/>
              <w:rPr>
                <w:rFonts w:ascii="Arial" w:hAnsi="Arial" w:cs="Arial"/>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A42DF1">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A42DF1">
              <w:rPr>
                <w:rFonts w:ascii="Arial" w:hAnsi="Arial" w:cs="Arial"/>
                <w:lang w:val="sv-SE" w:eastAsia="en-US"/>
              </w:rPr>
            </w:r>
            <w:r w:rsidR="001935C7" w:rsidRPr="00A42DF1">
              <w:rPr>
                <w:rFonts w:ascii="Arial" w:hAnsi="Arial" w:cs="Arial"/>
                <w:lang w:val="sv-SE" w:eastAsia="en-US"/>
              </w:rPr>
              <w:fldChar w:fldCharType="separate"/>
            </w:r>
            <w:r w:rsidR="001935C7" w:rsidRPr="00A42DF1">
              <w:rPr>
                <w:rFonts w:ascii="Arial" w:hAnsi="Arial" w:cs="Arial"/>
                <w:lang w:val="sv-SE" w:eastAsia="en-US"/>
              </w:rPr>
              <w:t>[1]</w:t>
            </w:r>
            <w:r w:rsidR="001935C7" w:rsidRPr="00A42DF1">
              <w:rPr>
                <w:rFonts w:ascii="Arial" w:hAnsi="Arial" w:cs="Arial"/>
                <w:lang w:val="sv-SE" w:eastAsia="en-US"/>
              </w:rPr>
              <w:fldChar w:fldCharType="end"/>
            </w:r>
          </w:p>
        </w:tc>
        <w:tc>
          <w:tcPr>
            <w:tcW w:w="7603" w:type="dxa"/>
          </w:tcPr>
          <w:p w14:paraId="0459419B" w14:textId="650A1BE2" w:rsidR="00E10E91" w:rsidRPr="00A42DF1" w:rsidRDefault="00E10E91" w:rsidP="00E10E91">
            <w:pPr>
              <w:overflowPunct/>
              <w:autoSpaceDE/>
              <w:autoSpaceDN/>
              <w:adjustRightInd/>
              <w:spacing w:after="0"/>
              <w:textAlignment w:val="auto"/>
              <w:rPr>
                <w:rFonts w:ascii="Arial" w:hAnsi="Arial" w:cs="Arial"/>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5DCC9810" w:rsidR="00E10E91" w:rsidRPr="00A42DF1" w:rsidRDefault="00E10E91" w:rsidP="00E10E91">
            <w:pPr>
              <w:overflowPunct/>
              <w:autoSpaceDE/>
              <w:autoSpaceDN/>
              <w:adjustRightInd/>
              <w:spacing w:after="0"/>
              <w:textAlignment w:val="auto"/>
              <w:rPr>
                <w:rFonts w:ascii="Arial" w:hAnsi="Arial" w:cs="Arial"/>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A42DF1">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A42DF1">
              <w:rPr>
                <w:rFonts w:ascii="Arial" w:hAnsi="Arial" w:cs="Arial"/>
                <w:lang w:val="sv-SE" w:eastAsia="en-US"/>
              </w:rPr>
            </w:r>
            <w:r w:rsidR="001935C7" w:rsidRPr="00A42DF1">
              <w:rPr>
                <w:rFonts w:ascii="Arial" w:hAnsi="Arial" w:cs="Arial"/>
                <w:lang w:val="sv-SE" w:eastAsia="en-US"/>
              </w:rPr>
              <w:fldChar w:fldCharType="separate"/>
            </w:r>
            <w:r w:rsidR="001935C7" w:rsidRPr="00A42DF1">
              <w:rPr>
                <w:rFonts w:ascii="Arial" w:hAnsi="Arial" w:cs="Arial"/>
                <w:lang w:val="sv-SE" w:eastAsia="en-US"/>
              </w:rPr>
              <w:t>[2]</w:t>
            </w:r>
            <w:r w:rsidR="001935C7" w:rsidRPr="00A42DF1">
              <w:rPr>
                <w:rFonts w:ascii="Arial" w:hAnsi="Arial" w:cs="Arial"/>
                <w:lang w:val="sv-SE" w:eastAsia="en-US"/>
              </w:rPr>
              <w:fldChar w:fldCharType="end"/>
            </w:r>
          </w:p>
        </w:tc>
        <w:tc>
          <w:tcPr>
            <w:tcW w:w="7603" w:type="dxa"/>
          </w:tcPr>
          <w:p w14:paraId="71580DE5" w14:textId="65E258A0" w:rsidR="00E10E91" w:rsidRPr="00A42DF1" w:rsidRDefault="00E10E91" w:rsidP="00E10E91">
            <w:pPr>
              <w:overflowPunct/>
              <w:autoSpaceDE/>
              <w:autoSpaceDN/>
              <w:adjustRightInd/>
              <w:spacing w:after="0"/>
              <w:textAlignment w:val="auto"/>
              <w:rPr>
                <w:rFonts w:ascii="Arial" w:hAnsi="Arial" w:cs="Arial"/>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0CF28FDB" w:rsidR="00E10E91" w:rsidRPr="00A42DF1" w:rsidRDefault="00E10E91" w:rsidP="00E10E91">
            <w:pPr>
              <w:overflowPunct/>
              <w:autoSpaceDE/>
              <w:autoSpaceDN/>
              <w:adjustRightInd/>
              <w:spacing w:after="0"/>
              <w:textAlignment w:val="auto"/>
              <w:rPr>
                <w:rFonts w:ascii="Arial" w:hAnsi="Arial" w:cs="Arial"/>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A42DF1">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A42DF1">
              <w:rPr>
                <w:rFonts w:ascii="Arial" w:hAnsi="Arial" w:cs="Arial"/>
                <w:lang w:val="sv-SE" w:eastAsia="en-US"/>
              </w:rPr>
            </w:r>
            <w:r w:rsidR="001935C7" w:rsidRPr="00A42DF1">
              <w:rPr>
                <w:rFonts w:ascii="Arial" w:hAnsi="Arial" w:cs="Arial"/>
                <w:lang w:val="sv-SE" w:eastAsia="en-US"/>
              </w:rPr>
              <w:fldChar w:fldCharType="separate"/>
            </w:r>
            <w:r w:rsidR="001935C7" w:rsidRPr="00A42DF1">
              <w:rPr>
                <w:rFonts w:ascii="Arial" w:hAnsi="Arial" w:cs="Arial"/>
                <w:lang w:val="sv-SE" w:eastAsia="en-US"/>
              </w:rPr>
              <w:t>[3]</w:t>
            </w:r>
            <w:r w:rsidR="001935C7" w:rsidRPr="00A42DF1">
              <w:rPr>
                <w:rFonts w:ascii="Arial" w:hAnsi="Arial" w:cs="Arial"/>
                <w:lang w:val="sv-SE" w:eastAsia="en-US"/>
              </w:rPr>
              <w:fldChar w:fldCharType="end"/>
            </w:r>
          </w:p>
        </w:tc>
        <w:tc>
          <w:tcPr>
            <w:tcW w:w="7603" w:type="dxa"/>
          </w:tcPr>
          <w:p w14:paraId="2A3DA665" w14:textId="5A393E77" w:rsidR="00E10E91" w:rsidRPr="00A42DF1" w:rsidRDefault="00E10E91" w:rsidP="00E10E91">
            <w:pPr>
              <w:overflowPunct/>
              <w:autoSpaceDE/>
              <w:autoSpaceDN/>
              <w:adjustRightInd/>
              <w:spacing w:after="0"/>
              <w:textAlignment w:val="auto"/>
              <w:rPr>
                <w:rFonts w:ascii="Arial" w:hAnsi="Arial" w:cs="Arial"/>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50858991" w:rsidR="00E10E91" w:rsidRPr="00A42DF1" w:rsidRDefault="00E10E91" w:rsidP="00E10E91">
            <w:pPr>
              <w:overflowPunct/>
              <w:autoSpaceDE/>
              <w:autoSpaceDN/>
              <w:adjustRightInd/>
              <w:spacing w:after="0"/>
              <w:textAlignment w:val="auto"/>
              <w:rPr>
                <w:rFonts w:ascii="Arial" w:hAnsi="Arial" w:cs="Arial"/>
                <w:lang w:val="sv-SE" w:eastAsia="en-US"/>
              </w:rPr>
            </w:pPr>
            <w:r w:rsidRPr="00A42DF1">
              <w:rPr>
                <w:rFonts w:ascii="Arial" w:hAnsi="Arial" w:cs="Arial"/>
                <w:lang w:val="sv-SE" w:eastAsia="en-US"/>
              </w:rPr>
              <w:t>Slicing</w:t>
            </w:r>
            <w:r w:rsidR="001935C7" w:rsidRPr="00A42DF1">
              <w:rPr>
                <w:rFonts w:ascii="Arial" w:hAnsi="Arial" w:cs="Arial"/>
                <w:lang w:val="sv-SE" w:eastAsia="en-US"/>
              </w:rPr>
              <w:t xml:space="preserve"> </w:t>
            </w:r>
            <w:r w:rsidR="001935C7" w:rsidRPr="00A42DF1">
              <w:rPr>
                <w:rFonts w:ascii="Arial" w:hAnsi="Arial" w:cs="Arial"/>
                <w:lang w:val="sv-SE" w:eastAsia="en-US"/>
              </w:rPr>
              <w:fldChar w:fldCharType="begin"/>
            </w:r>
            <w:r w:rsidR="001935C7" w:rsidRPr="00A42DF1">
              <w:rPr>
                <w:rFonts w:ascii="Arial" w:hAnsi="Arial" w:cs="Arial"/>
                <w:lang w:val="sv-SE" w:eastAsia="en-US"/>
              </w:rPr>
              <w:instrText xml:space="preserve"> REF _Ref70945801 \r \h </w:instrText>
            </w:r>
            <w:r w:rsidR="00A42DF1">
              <w:rPr>
                <w:rFonts w:ascii="Arial" w:hAnsi="Arial" w:cs="Arial"/>
                <w:lang w:val="sv-SE" w:eastAsia="en-US"/>
              </w:rPr>
              <w:instrText xml:space="preserve"> \* MERGEFORMAT </w:instrText>
            </w:r>
            <w:r w:rsidR="001935C7" w:rsidRPr="00A42DF1">
              <w:rPr>
                <w:rFonts w:ascii="Arial" w:hAnsi="Arial" w:cs="Arial"/>
                <w:lang w:val="sv-SE" w:eastAsia="en-US"/>
              </w:rPr>
            </w:r>
            <w:r w:rsidR="001935C7" w:rsidRPr="00A42DF1">
              <w:rPr>
                <w:rFonts w:ascii="Arial" w:hAnsi="Arial" w:cs="Arial"/>
                <w:lang w:val="sv-SE" w:eastAsia="en-US"/>
              </w:rPr>
              <w:fldChar w:fldCharType="separate"/>
            </w:r>
            <w:r w:rsidR="001935C7" w:rsidRPr="00A42DF1">
              <w:rPr>
                <w:rFonts w:ascii="Arial" w:hAnsi="Arial" w:cs="Arial"/>
                <w:lang w:val="sv-SE" w:eastAsia="en-US"/>
              </w:rPr>
              <w:t>[4]</w:t>
            </w:r>
            <w:r w:rsidR="001935C7" w:rsidRPr="00A42DF1">
              <w:rPr>
                <w:rFonts w:ascii="Arial" w:hAnsi="Arial" w:cs="Arial"/>
                <w:lang w:val="sv-SE" w:eastAsia="en-US"/>
              </w:rPr>
              <w:fldChar w:fldCharType="end"/>
            </w:r>
          </w:p>
        </w:tc>
        <w:tc>
          <w:tcPr>
            <w:tcW w:w="7603" w:type="dxa"/>
          </w:tcPr>
          <w:p w14:paraId="44EE8A0C" w14:textId="77777777" w:rsidR="00E10E91" w:rsidRPr="00A42DF1" w:rsidRDefault="00E10E91" w:rsidP="00E10E91">
            <w:pPr>
              <w:overflowPunct/>
              <w:autoSpaceDE/>
              <w:autoSpaceDN/>
              <w:adjustRightInd/>
              <w:spacing w:after="0"/>
              <w:textAlignment w:val="auto"/>
              <w:rPr>
                <w:rFonts w:ascii="Arial" w:hAnsi="Arial" w:cs="Arial"/>
                <w:lang w:eastAsia="en-US"/>
              </w:rPr>
            </w:pPr>
            <w:r w:rsidRPr="00A42DF1">
              <w:rPr>
                <w:rFonts w:ascii="Arial" w:hAnsi="Arial" w:cs="Arial"/>
                <w:lang w:eastAsia="en-US"/>
              </w:rPr>
              <w:t>To indicate high priority slice to the network and to achieve slice isolation also for RACH</w:t>
            </w:r>
          </w:p>
        </w:tc>
      </w:tr>
    </w:tbl>
    <w:p w14:paraId="698C6685" w14:textId="110F9EB0" w:rsidR="00E10E91" w:rsidRPr="00E10E91" w:rsidRDefault="00DB2D67" w:rsidP="00A42DF1">
      <w:pPr>
        <w:pStyle w:val="BodyText"/>
        <w:spacing w:before="240"/>
        <w:rPr>
          <w:lang w:val="en-US"/>
        </w:rPr>
      </w:pPr>
      <w:r>
        <w:rPr>
          <w:lang w:val="en-US"/>
        </w:rPr>
        <w:t xml:space="preserve">A note on terminology: in this contribution RACH resources refer to the time/frequency resources used for RACH (i.e. the so called RACH occasions)  and RACH partitioning can either be achieved by partitioning the RACH resources </w:t>
      </w:r>
      <w:r w:rsidR="00B841FD">
        <w:rPr>
          <w:lang w:val="en-US"/>
        </w:rPr>
        <w:t xml:space="preserve">(i.e. different RACH occasions are mapped to different features) </w:t>
      </w:r>
      <w:r>
        <w:rPr>
          <w:lang w:val="en-US"/>
        </w:rPr>
        <w:t>or by partitioning the preambles</w:t>
      </w:r>
      <w:r w:rsidDel="00B841FD">
        <w:rPr>
          <w:lang w:val="en-US"/>
        </w:rPr>
        <w:t xml:space="preserve"> associated with a RACH occasion</w:t>
      </w:r>
      <w:r w:rsidR="00646D32">
        <w:rPr>
          <w:lang w:val="en-US"/>
        </w:rPr>
        <w:t xml:space="preserve"> (i.e. different preambles are mapped to different features)</w:t>
      </w:r>
      <w:r>
        <w:rPr>
          <w:lang w:val="en-US"/>
        </w:rPr>
        <w:t>.</w:t>
      </w:r>
    </w:p>
    <w:p w14:paraId="235C3CB7" w14:textId="54A10AA2" w:rsidR="004000E8" w:rsidRDefault="00230D18" w:rsidP="00CE0424">
      <w:pPr>
        <w:pStyle w:val="Heading1"/>
      </w:pPr>
      <w:bookmarkStart w:id="0" w:name="_Ref178064866"/>
      <w:r>
        <w:t>2</w:t>
      </w:r>
      <w:r>
        <w:tab/>
      </w:r>
      <w:r w:rsidR="004000E8" w:rsidRPr="00CE0424">
        <w:t>Discussion</w:t>
      </w:r>
      <w:bookmarkEnd w:id="0"/>
    </w:p>
    <w:p w14:paraId="5C41B311" w14:textId="0F9203EB" w:rsidR="00673AEA" w:rsidRDefault="00673AEA" w:rsidP="00673AEA">
      <w:pPr>
        <w:pStyle w:val="Heading2"/>
      </w:pPr>
      <w:r>
        <w:t>2.1 RACH resources for Rel-15 4-step RA</w:t>
      </w:r>
    </w:p>
    <w:p w14:paraId="06FAD309" w14:textId="462E308E" w:rsidR="00FB673F" w:rsidRDefault="007F4082" w:rsidP="005B79CB">
      <w:pPr>
        <w:pStyle w:val="BodyText"/>
      </w:pPr>
      <w:r>
        <w:t xml:space="preserve">For 4-step RA, the </w:t>
      </w:r>
      <w:r w:rsidR="00E812C5">
        <w:t xml:space="preserve">RACH resources </w:t>
      </w:r>
      <w:r>
        <w:t>are</w:t>
      </w:r>
      <w:r w:rsidR="00E812C5">
        <w:t xml:space="preserve"> configured in</w:t>
      </w:r>
      <w:r w:rsidR="00673AEA">
        <w:t xml:space="preserve"> the</w:t>
      </w:r>
      <w:r w:rsidR="00E812C5">
        <w:t xml:space="preserve"> </w:t>
      </w:r>
      <w:r w:rsidR="008C5B40" w:rsidRPr="002B6E1C">
        <w:rPr>
          <w:i/>
          <w:iCs/>
        </w:rPr>
        <w:t>RACH</w:t>
      </w:r>
      <w:r w:rsidR="00E812C5" w:rsidRPr="002B6E1C">
        <w:rPr>
          <w:i/>
          <w:iCs/>
        </w:rPr>
        <w:t>-ConfigCommon</w:t>
      </w:r>
      <w:r w:rsidR="00E812C5">
        <w:t xml:space="preserve"> IE</w:t>
      </w:r>
      <w:r w:rsidR="00142160">
        <w:t xml:space="preserve"> in SIB1</w:t>
      </w:r>
      <w:r w:rsidR="00E812C5">
        <w:t xml:space="preserve"> and consist of a number of slots (the RACH slots) that repeats </w:t>
      </w:r>
      <w:r w:rsidR="00A42DF1">
        <w:t>themselves</w:t>
      </w:r>
      <w:r w:rsidR="00E812C5">
        <w:t xml:space="preserve"> every RACH configuration period. Within these RACH slots there may be multiple frequency domain RACH occ</w:t>
      </w:r>
      <w:r w:rsidR="00673AEA">
        <w:t xml:space="preserve">asions which </w:t>
      </w:r>
      <w:r w:rsidR="005B79CB">
        <w:t xml:space="preserve">lie consecutive in the frequency domain and each occupying </w:t>
      </w:r>
      <w:r w:rsidR="00B841FD">
        <w:t xml:space="preserve">a certain number of </w:t>
      </w:r>
      <w:r w:rsidR="005B79CB">
        <w:t>resource blocks</w:t>
      </w:r>
      <w:r w:rsidR="00B841FD">
        <w:t xml:space="preserve"> that depends on the preamble transmission bandwidth.</w:t>
      </w:r>
      <w:r w:rsidR="0060563B">
        <w:t xml:space="preserve"> </w:t>
      </w:r>
      <w:r w:rsidR="00E54A49">
        <w:t>Two types of preamble format are defined: a long format used for larger cells and a short one for smaller cells. For the short preambles it is in some cases possible to have multiple preamble transmissions multiplexed in time within a single RACH slot. In other words, for short preambles there may not only be multiple RACH occasions in the frequency domain but also in the time domain</w:t>
      </w:r>
      <w:r w:rsidR="00A42DF1">
        <w:t xml:space="preserve"> within a RACH slot</w:t>
      </w:r>
      <w:r w:rsidR="00E54A49">
        <w:t>.</w:t>
      </w:r>
      <w:r w:rsidR="00FB673F">
        <w:t xml:space="preserve"> In each such RACH time/frequency occasion there are 64 preambles available for transmission.</w:t>
      </w:r>
    </w:p>
    <w:p w14:paraId="07308E51" w14:textId="77777777" w:rsidR="00B623F5" w:rsidRDefault="00FB673F" w:rsidP="00B623F5">
      <w:pPr>
        <w:pStyle w:val="BodyText"/>
        <w:keepNext/>
        <w:jc w:val="center"/>
      </w:pPr>
      <w:r>
        <w:rPr>
          <w:noProof/>
        </w:rPr>
        <w:lastRenderedPageBreak/>
        <w:drawing>
          <wp:inline distT="0" distB="0" distL="0" distR="0" wp14:anchorId="75D7474A" wp14:editId="2BD612F4">
            <wp:extent cx="4184894" cy="1704975"/>
            <wp:effectExtent l="0" t="0" r="0" b="825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894" cy="1704975"/>
                    </a:xfrm>
                    <a:prstGeom prst="rect">
                      <a:avLst/>
                    </a:prstGeom>
                    <a:noFill/>
                  </pic:spPr>
                </pic:pic>
              </a:graphicData>
            </a:graphic>
          </wp:inline>
        </w:drawing>
      </w:r>
    </w:p>
    <w:p w14:paraId="5F6F614A" w14:textId="234F5B12" w:rsidR="00FB673F" w:rsidRDefault="00B623F5" w:rsidP="00B623F5">
      <w:pPr>
        <w:pStyle w:val="Caption"/>
        <w:jc w:val="center"/>
      </w:pPr>
      <w:r>
        <w:t xml:space="preserve">Figure </w:t>
      </w:r>
      <w:fldSimple w:instr=" SEQ Figure \* ARABIC ">
        <w:r>
          <w:rPr>
            <w:noProof/>
          </w:rPr>
          <w:t>1</w:t>
        </w:r>
      </w:fldSimple>
      <w:r w:rsidR="00FB7BDA">
        <w:rPr>
          <w:noProof/>
        </w:rPr>
        <w:t>:</w:t>
      </w:r>
      <w:r>
        <w:t xml:space="preserve"> RACH resource structure</w:t>
      </w:r>
    </w:p>
    <w:p w14:paraId="1C4AF6C0" w14:textId="444CA388" w:rsidR="00F34B6E" w:rsidRDefault="00F34B6E" w:rsidP="00E812C5">
      <w:pPr>
        <w:pStyle w:val="BodyText"/>
      </w:pPr>
    </w:p>
    <w:p w14:paraId="0D559FE1" w14:textId="7A06CA13" w:rsidR="00625093" w:rsidRDefault="00A0230B" w:rsidP="00E812C5">
      <w:pPr>
        <w:pStyle w:val="BodyText"/>
      </w:pPr>
      <w:r>
        <w:t xml:space="preserve">A key feature of random access in NR is the possibility to establish a suitable beam pair and to apply receiver side analog beam-sweeping for the preamble reception. This is achieved by associating different </w:t>
      </w:r>
      <w:r w:rsidR="002A25A4">
        <w:t>SSBs</w:t>
      </w:r>
      <w:r>
        <w:t xml:space="preserve"> </w:t>
      </w:r>
      <w:r w:rsidR="002A25A4">
        <w:t>with different RACH time/frequency occasion</w:t>
      </w:r>
      <w:r w:rsidR="00FB673F">
        <w:t>s</w:t>
      </w:r>
      <w:r w:rsidR="002A25A4">
        <w:t xml:space="preserve"> and/or different preambles. As different SSBs correspond to different downlink beams, </w:t>
      </w:r>
      <w:r w:rsidR="005750F5">
        <w:t>this enables the</w:t>
      </w:r>
      <w:r w:rsidR="002A25A4">
        <w:t xml:space="preserve"> gNB to determine the downlink beam</w:t>
      </w:r>
      <w:r w:rsidR="006E5555">
        <w:t xml:space="preserve"> selected by the UE</w:t>
      </w:r>
      <w:r w:rsidR="002A25A4">
        <w:t xml:space="preserve"> from the preamble reception. Furthermore, if the SSBs are mapped to different RACH occasion in the time domain, the gNB will also be able to apply analog beam</w:t>
      </w:r>
      <w:r w:rsidR="005623E0">
        <w:t>-</w:t>
      </w:r>
      <w:r w:rsidR="002A25A4">
        <w:t xml:space="preserve">sweeping </w:t>
      </w:r>
      <w:r w:rsidR="005623E0">
        <w:t>for the preamble reception</w:t>
      </w:r>
      <w:r w:rsidR="00CE580D">
        <w:t xml:space="preserve"> on different RACH occasions</w:t>
      </w:r>
      <w:r w:rsidR="005623E0">
        <w:t>.</w:t>
      </w:r>
      <w:r w:rsidR="005B7AC6">
        <w:t xml:space="preserve"> </w:t>
      </w:r>
    </w:p>
    <w:p w14:paraId="75869066" w14:textId="77705A27" w:rsidR="00E54A49" w:rsidRDefault="00F34B6E" w:rsidP="00E812C5">
      <w:pPr>
        <w:pStyle w:val="BodyText"/>
      </w:pPr>
      <w:r>
        <w:t xml:space="preserve">Each SSB is mapped to a number of RACH occasions. This number can be less than one meaning that the RACH occasion is shared by multiple SSBs (in this case separation is done based on preamble </w:t>
      </w:r>
      <w:r w:rsidR="00E94C89">
        <w:t xml:space="preserve">partitioning, see </w:t>
      </w:r>
      <w:r w:rsidR="0060563B">
        <w:t>below</w:t>
      </w:r>
      <w:r>
        <w:t xml:space="preserve">), or it can be larger than one to </w:t>
      </w:r>
      <w:r w:rsidR="0086639B">
        <w:t>e.g.</w:t>
      </w:r>
      <w:r w:rsidR="00EC72AB">
        <w:t>,</w:t>
      </w:r>
      <w:r w:rsidR="0086639B">
        <w:t xml:space="preserve"> enable analog beam-sweeping for the preamble reception</w:t>
      </w:r>
      <w:r>
        <w:t xml:space="preserve">. The mapping of SSBs to RACH occasions is done </w:t>
      </w:r>
      <w:r w:rsidR="005B7AC6">
        <w:t>in the following order:</w:t>
      </w:r>
    </w:p>
    <w:p w14:paraId="60B0C297" w14:textId="77BABD19" w:rsidR="0086639B" w:rsidRDefault="0086639B" w:rsidP="005750F5">
      <w:pPr>
        <w:pStyle w:val="BodyText"/>
        <w:numPr>
          <w:ilvl w:val="0"/>
          <w:numId w:val="28"/>
        </w:numPr>
      </w:pPr>
      <w:r>
        <w:t>First in increasing order of preamble indexes within a single RACH occasion</w:t>
      </w:r>
      <w:r w:rsidR="00BF6997">
        <w:t>;</w:t>
      </w:r>
    </w:p>
    <w:p w14:paraId="5F76EFD4" w14:textId="085AA808" w:rsidR="005B7AC6" w:rsidRDefault="005F1DC7" w:rsidP="005750F5">
      <w:pPr>
        <w:pStyle w:val="BodyText"/>
        <w:numPr>
          <w:ilvl w:val="0"/>
          <w:numId w:val="28"/>
        </w:numPr>
      </w:pPr>
      <w:r>
        <w:t xml:space="preserve">Then </w:t>
      </w:r>
      <w:r w:rsidR="0086639B">
        <w:t xml:space="preserve">in </w:t>
      </w:r>
      <w:r>
        <w:t>the frequency domain for the frequency multiplexed RACH occasions</w:t>
      </w:r>
      <w:r w:rsidR="005B7AC6">
        <w:t>;</w:t>
      </w:r>
    </w:p>
    <w:p w14:paraId="6E1D88E2" w14:textId="4AE46439" w:rsidR="005B7AC6" w:rsidRDefault="005B7AC6" w:rsidP="005750F5">
      <w:pPr>
        <w:pStyle w:val="BodyText"/>
        <w:numPr>
          <w:ilvl w:val="0"/>
          <w:numId w:val="28"/>
        </w:numPr>
      </w:pPr>
      <w:r>
        <w:t>Then in time domain</w:t>
      </w:r>
      <w:r w:rsidR="00625093">
        <w:t xml:space="preserve"> </w:t>
      </w:r>
      <w:r w:rsidR="005F1DC7">
        <w:t xml:space="preserve">for the time multiplexed RACH occasions </w:t>
      </w:r>
      <w:r w:rsidR="00625093">
        <w:t>within a RACH slot</w:t>
      </w:r>
      <w:r>
        <w:t xml:space="preserve"> (</w:t>
      </w:r>
      <w:r w:rsidR="00625093">
        <w:t>assuming short-preamble format is used</w:t>
      </w:r>
      <w:r>
        <w:t>)</w:t>
      </w:r>
      <w:r w:rsidR="00625093">
        <w:t>;</w:t>
      </w:r>
    </w:p>
    <w:p w14:paraId="52702E9F" w14:textId="42004804" w:rsidR="00625093" w:rsidRDefault="00625093" w:rsidP="005750F5">
      <w:pPr>
        <w:pStyle w:val="BodyText"/>
        <w:numPr>
          <w:ilvl w:val="0"/>
          <w:numId w:val="28"/>
        </w:numPr>
      </w:pPr>
      <w:r>
        <w:t xml:space="preserve">Then finally in the </w:t>
      </w:r>
      <w:r w:rsidR="005F1DC7">
        <w:t xml:space="preserve">time </w:t>
      </w:r>
      <w:r>
        <w:t>domain between RACH slots</w:t>
      </w:r>
    </w:p>
    <w:p w14:paraId="5BCFC4F0" w14:textId="01A4E5E5" w:rsidR="003C6583" w:rsidRDefault="004E1548" w:rsidP="009E16DB">
      <w:pPr>
        <w:pStyle w:val="BodyText"/>
      </w:pPr>
      <w:r>
        <w:t>In the contention-based random access procedure, i</w:t>
      </w:r>
      <w:r w:rsidR="00355DD2">
        <w:t xml:space="preserve">f an SSB is mapped to more than </w:t>
      </w:r>
      <w:r w:rsidR="00D10474">
        <w:t xml:space="preserve">one </w:t>
      </w:r>
      <w:r w:rsidR="00355DD2">
        <w:t xml:space="preserve">RACH occasion </w:t>
      </w:r>
      <w:r>
        <w:t xml:space="preserve">in the frequency domain, </w:t>
      </w:r>
      <w:r w:rsidR="00355DD2">
        <w:t xml:space="preserve">the UE will </w:t>
      </w:r>
      <w:r w:rsidR="00CE580D">
        <w:t xml:space="preserve">randomly </w:t>
      </w:r>
      <w:r w:rsidR="00355DD2">
        <w:t xml:space="preserve">select </w:t>
      </w:r>
      <w:r>
        <w:t>one of the frequency domain</w:t>
      </w:r>
      <w:r w:rsidR="00355DD2">
        <w:t xml:space="preserve"> RACH occasion </w:t>
      </w:r>
      <w:r w:rsidR="009E16DB">
        <w:t>for the preamble transmission.</w:t>
      </w:r>
    </w:p>
    <w:p w14:paraId="602F172A" w14:textId="35718F4E" w:rsidR="00FB673F" w:rsidRDefault="00FB673F" w:rsidP="009E16DB">
      <w:pPr>
        <w:pStyle w:val="BodyText"/>
      </w:pPr>
      <w:r>
        <w:t xml:space="preserve">The </w:t>
      </w:r>
      <w:r w:rsidR="004D2D23">
        <w:t>figure</w:t>
      </w:r>
      <w:r>
        <w:t xml:space="preserve"> below shows </w:t>
      </w:r>
      <w:r w:rsidR="004D2D23">
        <w:t xml:space="preserve">an example </w:t>
      </w:r>
      <w:r w:rsidR="00B24169">
        <w:t>(</w:t>
      </w:r>
      <w:r w:rsidR="0060563B">
        <w:t>not necessarily</w:t>
      </w:r>
      <w:r w:rsidR="00B24169">
        <w:t xml:space="preserve"> realistic) </w:t>
      </w:r>
      <w:r w:rsidR="004D2D23">
        <w:t xml:space="preserve">where there are two beams/SSBs in the cell and </w:t>
      </w:r>
      <w:r w:rsidR="00B24169">
        <w:t xml:space="preserve">both SSBs are mapped to the same RACH occasion, i.e. the SSBs are separated using preamble partitioning rather than RACH resource </w:t>
      </w:r>
      <w:r w:rsidR="00831C3C">
        <w:t>partitioning</w:t>
      </w:r>
      <w:r w:rsidR="00B24169">
        <w:t xml:space="preserve"> in this example. </w:t>
      </w:r>
      <w:r w:rsidR="004D2D23">
        <w:t xml:space="preserve"> </w:t>
      </w:r>
      <w:r w:rsidR="00B24169">
        <w:t>There are two RACH slots per RACH period and six RACH occasions per RACH slot.</w:t>
      </w:r>
    </w:p>
    <w:p w14:paraId="0C6C4A95" w14:textId="696CF869" w:rsidR="003C6583" w:rsidRDefault="004D2D23" w:rsidP="00B24169">
      <w:pPr>
        <w:pStyle w:val="Heading2"/>
      </w:pPr>
      <w:r>
        <w:rPr>
          <w:noProof/>
        </w:rPr>
        <w:drawing>
          <wp:inline distT="0" distB="0" distL="0" distR="0" wp14:anchorId="749D109D" wp14:editId="1343D1D8">
            <wp:extent cx="6071870" cy="16275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1870" cy="1627505"/>
                    </a:xfrm>
                    <a:prstGeom prst="rect">
                      <a:avLst/>
                    </a:prstGeom>
                    <a:noFill/>
                  </pic:spPr>
                </pic:pic>
              </a:graphicData>
            </a:graphic>
          </wp:inline>
        </w:drawing>
      </w:r>
    </w:p>
    <w:p w14:paraId="36922BD5" w14:textId="1D104B47" w:rsidR="00B623F5" w:rsidRDefault="00B623F5" w:rsidP="00B623F5">
      <w:pPr>
        <w:pStyle w:val="Caption"/>
        <w:jc w:val="center"/>
      </w:pPr>
      <w:r w:rsidRPr="00B623F5">
        <w:t>Figure</w:t>
      </w:r>
      <w:r>
        <w:t xml:space="preserve"> </w:t>
      </w:r>
      <w:fldSimple w:instr=" SEQ Figure \* ARABIC ">
        <w:r>
          <w:rPr>
            <w:noProof/>
          </w:rPr>
          <w:t>2</w:t>
        </w:r>
      </w:fldSimple>
      <w:r w:rsidR="005750F5">
        <w:rPr>
          <w:noProof/>
        </w:rPr>
        <w:t>:</w:t>
      </w:r>
      <w:r>
        <w:t xml:space="preserve"> </w:t>
      </w:r>
      <w:r w:rsidR="00786385">
        <w:t>Mapping of SSBs to RACH occasions</w:t>
      </w:r>
    </w:p>
    <w:p w14:paraId="545E0928" w14:textId="77777777" w:rsidR="00B623F5" w:rsidRDefault="00B623F5" w:rsidP="00B623F5">
      <w:pPr>
        <w:pStyle w:val="BodyText"/>
      </w:pPr>
    </w:p>
    <w:p w14:paraId="40D2C935" w14:textId="1F933C00" w:rsidR="00010691" w:rsidRDefault="000E7864" w:rsidP="00400F74">
      <w:pPr>
        <w:pStyle w:val="BodyText"/>
        <w:spacing w:after="240"/>
        <w:rPr>
          <w:noProof/>
        </w:rPr>
      </w:pPr>
      <w:r>
        <w:t xml:space="preserve">The 64 preambles within a RACH occasion are </w:t>
      </w:r>
      <w:r w:rsidR="00B623F5">
        <w:t>divided</w:t>
      </w:r>
      <w:r>
        <w:t xml:space="preserve"> </w:t>
      </w:r>
      <w:r w:rsidR="00B623F5">
        <w:t xml:space="preserve">equally </w:t>
      </w:r>
      <w:r>
        <w:t xml:space="preserve">among the SSBs sharing the </w:t>
      </w:r>
      <w:r w:rsidR="00B623F5">
        <w:t>RACH occasion and are then split into a contention</w:t>
      </w:r>
      <w:r w:rsidR="002F2FEE">
        <w:t>-</w:t>
      </w:r>
      <w:r w:rsidR="00B623F5">
        <w:t xml:space="preserve">based and </w:t>
      </w:r>
      <w:r w:rsidR="0060563B">
        <w:t xml:space="preserve">a </w:t>
      </w:r>
      <w:r w:rsidR="00B623F5">
        <w:t>contention</w:t>
      </w:r>
      <w:r w:rsidR="002F2FEE">
        <w:t>-</w:t>
      </w:r>
      <w:r w:rsidR="00B623F5">
        <w:t>free part. The contention</w:t>
      </w:r>
      <w:r w:rsidR="002F2FEE">
        <w:t>-</w:t>
      </w:r>
      <w:r w:rsidR="00B623F5">
        <w:t xml:space="preserve">based preambles associated with an SSB can also be further split into an A and </w:t>
      </w:r>
      <w:r w:rsidR="002F2FEE">
        <w:t xml:space="preserve">a </w:t>
      </w:r>
      <w:r w:rsidR="00B623F5">
        <w:t xml:space="preserve">B group where the group B preambles are </w:t>
      </w:r>
      <w:r w:rsidR="00B623F5">
        <w:lastRenderedPageBreak/>
        <w:t xml:space="preserve">used to request a larger MSG3 size in the </w:t>
      </w:r>
      <w:r w:rsidR="000C5F43">
        <w:t>contention-based</w:t>
      </w:r>
      <w:r w:rsidR="00B623F5">
        <w:t xml:space="preserve"> random access procedure. The overall division of the preambles is illustrated in the figure below. Note that it also possible to reserve some of the 64 preambles for other use</w:t>
      </w:r>
      <w:r w:rsidR="002F2FEE">
        <w:t>s</w:t>
      </w:r>
      <w:r w:rsidR="00E819F5">
        <w:t>, e.g.</w:t>
      </w:r>
      <w:r w:rsidR="002F2FEE">
        <w:t>,</w:t>
      </w:r>
      <w:r w:rsidR="00E819F5">
        <w:t xml:space="preserve"> for (</w:t>
      </w:r>
      <w:r w:rsidR="002F2FEE">
        <w:t>MSG1</w:t>
      </w:r>
      <w:r w:rsidR="00E819F5">
        <w:t xml:space="preserve">-based) on-demand SI request. </w:t>
      </w:r>
      <w:r w:rsidR="00B623F5">
        <w:t xml:space="preserve"> </w:t>
      </w:r>
    </w:p>
    <w:p w14:paraId="6D10FBE3" w14:textId="6BDFC74E" w:rsidR="009B4EB5" w:rsidRDefault="00400F74" w:rsidP="00010691">
      <w:pPr>
        <w:pStyle w:val="BodyText"/>
        <w:jc w:val="center"/>
        <w:rPr>
          <w:noProof/>
        </w:rPr>
      </w:pPr>
      <w:r>
        <w:rPr>
          <w:noProof/>
        </w:rPr>
        <w:drawing>
          <wp:inline distT="0" distB="0" distL="0" distR="0" wp14:anchorId="670E6223" wp14:editId="13FB8FEF">
            <wp:extent cx="5644800" cy="247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4800" cy="2476800"/>
                    </a:xfrm>
                    <a:prstGeom prst="rect">
                      <a:avLst/>
                    </a:prstGeom>
                    <a:noFill/>
                  </pic:spPr>
                </pic:pic>
              </a:graphicData>
            </a:graphic>
          </wp:inline>
        </w:drawing>
      </w:r>
    </w:p>
    <w:p w14:paraId="1839D4E7" w14:textId="36658FFD" w:rsidR="00C971E1" w:rsidRDefault="00C971E1" w:rsidP="00EC72AB">
      <w:pPr>
        <w:pStyle w:val="Caption"/>
        <w:spacing w:after="240"/>
        <w:jc w:val="center"/>
      </w:pPr>
      <w:r w:rsidRPr="00B623F5">
        <w:t>Figure</w:t>
      </w:r>
      <w:r>
        <w:t xml:space="preserve"> </w:t>
      </w:r>
      <w:fldSimple w:instr=" SEQ Figure \* ARABIC ">
        <w:r w:rsidR="00AA7BED">
          <w:rPr>
            <w:noProof/>
          </w:rPr>
          <w:t>3</w:t>
        </w:r>
      </w:fldSimple>
      <w:r w:rsidR="00FB7BDA">
        <w:rPr>
          <w:noProof/>
        </w:rPr>
        <w:t>:</w:t>
      </w:r>
      <w:r>
        <w:t xml:space="preserve"> Preamble partitioning</w:t>
      </w:r>
    </w:p>
    <w:p w14:paraId="119E349A" w14:textId="3A21A334" w:rsidR="00ED53B7" w:rsidRDefault="00786385" w:rsidP="00786385">
      <w:pPr>
        <w:pStyle w:val="BodyText"/>
      </w:pPr>
      <w:r>
        <w:t>The contention</w:t>
      </w:r>
      <w:r w:rsidR="002F2FEE">
        <w:t>-</w:t>
      </w:r>
      <w:r>
        <w:t xml:space="preserve">free preambles associated with an SSB </w:t>
      </w:r>
      <w:r w:rsidR="00B64F83">
        <w:t>are used in</w:t>
      </w:r>
      <w:r>
        <w:t xml:space="preserve"> the </w:t>
      </w:r>
      <w:r w:rsidR="000C5F43">
        <w:t>contention-free</w:t>
      </w:r>
      <w:r>
        <w:t xml:space="preserve"> random access procedure used during e.g. handover. Since we are mainly concerned with the </w:t>
      </w:r>
      <w:r w:rsidR="000C5F43">
        <w:t>contention-based</w:t>
      </w:r>
      <w:r>
        <w:t xml:space="preserve"> random access procedure, we will not discuss the details of </w:t>
      </w:r>
      <w:r w:rsidR="00B64F83">
        <w:t xml:space="preserve">the </w:t>
      </w:r>
      <w:r w:rsidR="000C5F43">
        <w:t>contention-free</w:t>
      </w:r>
      <w:r w:rsidR="00B64F83">
        <w:t xml:space="preserve"> random access procedure further</w:t>
      </w:r>
      <w:r>
        <w:t>.</w:t>
      </w:r>
    </w:p>
    <w:p w14:paraId="370C6D88" w14:textId="3E514A67" w:rsidR="00984C13" w:rsidRPr="00984C13" w:rsidRDefault="00ED53B7" w:rsidP="00984C13">
      <w:pPr>
        <w:pStyle w:val="Heading2"/>
      </w:pPr>
      <w:r>
        <w:t>2.</w:t>
      </w:r>
      <w:r w:rsidR="00EC72AB">
        <w:t>2</w:t>
      </w:r>
      <w:r>
        <w:t xml:space="preserve"> RACH </w:t>
      </w:r>
      <w:r w:rsidR="00474A58">
        <w:t>parti</w:t>
      </w:r>
      <w:r w:rsidR="00885507">
        <w:t>ti</w:t>
      </w:r>
      <w:r w:rsidR="00474A58">
        <w:t>oning</w:t>
      </w:r>
      <w:r>
        <w:t xml:space="preserve"> for Rel-1</w:t>
      </w:r>
      <w:r w:rsidR="00803328">
        <w:t>6</w:t>
      </w:r>
      <w:r>
        <w:t xml:space="preserve"> 2-step RA</w:t>
      </w:r>
    </w:p>
    <w:p w14:paraId="32F68EC8" w14:textId="3B8D599F" w:rsidR="00ED53B7" w:rsidRDefault="00803328" w:rsidP="00786385">
      <w:pPr>
        <w:pStyle w:val="BodyText"/>
      </w:pPr>
      <w:r>
        <w:t xml:space="preserve">2-step RA introduced in Rel-16 use RACH partitioning to enable the network to distinguish the 2-step RA </w:t>
      </w:r>
      <w:r w:rsidR="00677011">
        <w:t xml:space="preserve">attempts </w:t>
      </w:r>
      <w:r>
        <w:t xml:space="preserve">from the 4-step RA </w:t>
      </w:r>
      <w:r w:rsidR="00677011">
        <w:t xml:space="preserve">attempts </w:t>
      </w:r>
      <w:r>
        <w:t xml:space="preserve">in order to simplify the decoding of MSGA PUSCH. 2-step RA can thus serve as </w:t>
      </w:r>
      <w:r w:rsidR="00BA056E">
        <w:t xml:space="preserve">inspiration when </w:t>
      </w:r>
      <w:r w:rsidR="00910F64">
        <w:t xml:space="preserve">extending </w:t>
      </w:r>
      <w:r w:rsidR="0060563B">
        <w:t xml:space="preserve">the </w:t>
      </w:r>
      <w:r w:rsidR="00BA056E">
        <w:t xml:space="preserve">RACH </w:t>
      </w:r>
      <w:r w:rsidR="0060563B">
        <w:t>partitioning</w:t>
      </w:r>
      <w:r w:rsidR="00BA056E">
        <w:t xml:space="preserve"> for the Rel-17 features.</w:t>
      </w:r>
    </w:p>
    <w:p w14:paraId="184F1293" w14:textId="21402476" w:rsidR="004B524E" w:rsidRDefault="00747F95" w:rsidP="00813E56">
      <w:pPr>
        <w:pStyle w:val="BodyText"/>
      </w:pPr>
      <w:r>
        <w:t xml:space="preserve">The RACH resources for </w:t>
      </w:r>
      <w:r w:rsidR="00015806">
        <w:t>2-step RA</w:t>
      </w:r>
      <w:r>
        <w:t xml:space="preserve"> </w:t>
      </w:r>
      <w:r w:rsidR="00015806">
        <w:t xml:space="preserve">are configured in </w:t>
      </w:r>
      <w:r w:rsidR="00813E56">
        <w:t xml:space="preserve">the </w:t>
      </w:r>
      <w:r w:rsidR="00015806" w:rsidRPr="002B6E1C">
        <w:rPr>
          <w:i/>
          <w:iCs/>
        </w:rPr>
        <w:t>RACH-ConfigCommonTwoStepRA</w:t>
      </w:r>
      <w:r w:rsidR="00015806">
        <w:t xml:space="preserve"> IE in SIB1 </w:t>
      </w:r>
      <w:r w:rsidR="00813E56">
        <w:t>and can either be separate from 4-step RA or they can be shared with 4-step RA</w:t>
      </w:r>
      <w:r w:rsidR="00F42A13">
        <w:t xml:space="preserve">. </w:t>
      </w:r>
      <w:r w:rsidR="004B524E">
        <w:t xml:space="preserve">In the separate case the 2-step RA users can be distinguished based on the RACH resource while in the shared case this is not possible and preamble partitioning must be used instead. The preamble partitioning is done by </w:t>
      </w:r>
      <w:r w:rsidR="00C9229B">
        <w:t xml:space="preserve">expanding the SSB-associated </w:t>
      </w:r>
      <w:r w:rsidR="000C5F43">
        <w:t>contention-based</w:t>
      </w:r>
      <w:r w:rsidR="00C9229B">
        <w:t xml:space="preserve"> preamble region and allocating </w:t>
      </w:r>
      <w:r w:rsidR="00A56A11">
        <w:t>the</w:t>
      </w:r>
      <w:r w:rsidR="00C9229B">
        <w:t xml:space="preserve"> preambles </w:t>
      </w:r>
      <w:r w:rsidR="00A56A11">
        <w:t xml:space="preserve">in the expansion </w:t>
      </w:r>
      <w:r w:rsidR="00C9229B">
        <w:t>to 2-step RA</w:t>
      </w:r>
      <w:r w:rsidR="004B524E">
        <w:t>.</w:t>
      </w:r>
      <w:r w:rsidR="005F5BBA">
        <w:t xml:space="preserve"> </w:t>
      </w:r>
      <w:r w:rsidR="004B524E">
        <w:t>Th</w:t>
      </w:r>
      <w:r w:rsidR="005F5BBA">
        <w:t>e</w:t>
      </w:r>
      <w:r w:rsidR="004B524E">
        <w:t xml:space="preserve"> </w:t>
      </w:r>
      <w:r w:rsidR="00C9229B">
        <w:t xml:space="preserve">2-step RA preambles </w:t>
      </w:r>
      <w:r w:rsidR="004B524E">
        <w:t xml:space="preserve">can </w:t>
      </w:r>
      <w:r w:rsidR="005F5BBA">
        <w:t xml:space="preserve">then </w:t>
      </w:r>
      <w:r w:rsidR="004B524E">
        <w:t xml:space="preserve">be split into an A and B group similar to the 4-step </w:t>
      </w:r>
      <w:r w:rsidR="000C5F43">
        <w:t>contention-based</w:t>
      </w:r>
      <w:r w:rsidR="004B524E">
        <w:t xml:space="preserve"> preambles. </w:t>
      </w:r>
      <w:r w:rsidR="00245E28">
        <w:t xml:space="preserve">As can be seen from the figure below, </w:t>
      </w:r>
      <w:r w:rsidR="000C5F43">
        <w:t xml:space="preserve">in </w:t>
      </w:r>
      <w:r w:rsidR="00245E28">
        <w:t xml:space="preserve">the end </w:t>
      </w:r>
      <w:r w:rsidR="000C5F43">
        <w:t xml:space="preserve">the </w:t>
      </w:r>
      <w:r w:rsidR="00245E28">
        <w:t>result is that the</w:t>
      </w:r>
      <w:r w:rsidR="00B23C50">
        <w:t xml:space="preserve"> </w:t>
      </w:r>
      <w:r w:rsidR="00EC43E8">
        <w:t>SSB</w:t>
      </w:r>
      <w:r w:rsidR="000C5F43">
        <w:t>-</w:t>
      </w:r>
      <w:r w:rsidR="00EC43E8">
        <w:t xml:space="preserve">associated </w:t>
      </w:r>
      <w:r w:rsidR="000C5F43">
        <w:t>contention-based</w:t>
      </w:r>
      <w:r w:rsidR="00B23C50">
        <w:t xml:space="preserve"> preamble</w:t>
      </w:r>
      <w:r w:rsidR="00EC43E8">
        <w:t>s</w:t>
      </w:r>
      <w:r w:rsidR="00245E28">
        <w:t xml:space="preserve"> </w:t>
      </w:r>
      <w:r w:rsidR="00B23C50">
        <w:t>ha</w:t>
      </w:r>
      <w:r w:rsidR="00EC43E8">
        <w:t>ve</w:t>
      </w:r>
      <w:r w:rsidR="00B23C50">
        <w:t xml:space="preserve"> been split into four </w:t>
      </w:r>
      <w:r w:rsidR="00705F57">
        <w:t>partitions</w:t>
      </w:r>
      <w:r w:rsidR="00B23C50">
        <w:t>:</w:t>
      </w:r>
    </w:p>
    <w:p w14:paraId="72F541E8" w14:textId="49BAF64A" w:rsidR="002A5334" w:rsidRDefault="002B6E1C" w:rsidP="002A5334">
      <w:pPr>
        <w:pStyle w:val="BodyText"/>
        <w:numPr>
          <w:ilvl w:val="0"/>
          <w:numId w:val="27"/>
        </w:numPr>
      </w:pPr>
      <w:r>
        <w:t xml:space="preserve">For </w:t>
      </w:r>
      <w:r w:rsidR="00B23C50">
        <w:t xml:space="preserve">4-step RA </w:t>
      </w:r>
    </w:p>
    <w:p w14:paraId="28C953B3" w14:textId="43BA3165" w:rsidR="002A5334" w:rsidRDefault="00B23C50" w:rsidP="002A5334">
      <w:pPr>
        <w:pStyle w:val="BodyText"/>
        <w:numPr>
          <w:ilvl w:val="1"/>
          <w:numId w:val="27"/>
        </w:numPr>
      </w:pPr>
      <w:r>
        <w:t>group A</w:t>
      </w:r>
      <w:r w:rsidR="002A5334">
        <w:t xml:space="preserve"> (partition 00)</w:t>
      </w:r>
    </w:p>
    <w:p w14:paraId="486D25CE" w14:textId="0A2A0049" w:rsidR="00B23C50" w:rsidRDefault="00B23C50" w:rsidP="002A5334">
      <w:pPr>
        <w:pStyle w:val="BodyText"/>
        <w:numPr>
          <w:ilvl w:val="1"/>
          <w:numId w:val="27"/>
        </w:numPr>
      </w:pPr>
      <w:r>
        <w:t>group B</w:t>
      </w:r>
      <w:r w:rsidR="002A5334">
        <w:t xml:space="preserve"> (partition 01)</w:t>
      </w:r>
    </w:p>
    <w:p w14:paraId="7F3254FB" w14:textId="42366854" w:rsidR="002A5334" w:rsidRDefault="002B6E1C" w:rsidP="002A5334">
      <w:pPr>
        <w:pStyle w:val="BodyText"/>
        <w:numPr>
          <w:ilvl w:val="0"/>
          <w:numId w:val="27"/>
        </w:numPr>
      </w:pPr>
      <w:r>
        <w:t xml:space="preserve">For </w:t>
      </w:r>
      <w:r w:rsidR="00B23C50">
        <w:t xml:space="preserve">2-step RA </w:t>
      </w:r>
    </w:p>
    <w:p w14:paraId="01ECC73E" w14:textId="71FFAFD8" w:rsidR="004B524E" w:rsidRDefault="002A5334" w:rsidP="002A5334">
      <w:pPr>
        <w:pStyle w:val="BodyText"/>
        <w:numPr>
          <w:ilvl w:val="1"/>
          <w:numId w:val="27"/>
        </w:numPr>
      </w:pPr>
      <w:r>
        <w:t>group A (partition 10)</w:t>
      </w:r>
    </w:p>
    <w:p w14:paraId="30047F5B" w14:textId="5C66A2DE" w:rsidR="002A5334" w:rsidRDefault="002A5334" w:rsidP="002A5334">
      <w:pPr>
        <w:pStyle w:val="BodyText"/>
        <w:numPr>
          <w:ilvl w:val="1"/>
          <w:numId w:val="27"/>
        </w:numPr>
      </w:pPr>
      <w:r>
        <w:t>group B (partition 11)</w:t>
      </w:r>
    </w:p>
    <w:p w14:paraId="3F0B2B6F" w14:textId="3BD89F14" w:rsidR="004C353D" w:rsidRDefault="004C353D" w:rsidP="00E736A5">
      <w:pPr>
        <w:pStyle w:val="BodyText"/>
        <w:spacing w:before="240"/>
      </w:pPr>
      <w:r>
        <w:t>(</w:t>
      </w:r>
      <w:r w:rsidR="002031F8">
        <w:t>If the partition index is written in binary like above t</w:t>
      </w:r>
      <w:r w:rsidR="00953EDE">
        <w:t xml:space="preserve">he </w:t>
      </w:r>
      <w:r w:rsidR="002031F8">
        <w:t>0s and 1s</w:t>
      </w:r>
      <w:r w:rsidR="00953EDE">
        <w:t xml:space="preserve"> </w:t>
      </w:r>
      <w:r w:rsidR="002031F8">
        <w:t>can be interpreted as a feature being on and off, e.g. 01 means that the 2-step RA feature is off and the group B feature is on</w:t>
      </w:r>
      <w:r>
        <w:t>)</w:t>
      </w:r>
      <w:r w:rsidR="002031F8">
        <w:t>.</w:t>
      </w:r>
    </w:p>
    <w:p w14:paraId="0A55D754" w14:textId="1C30C1C5" w:rsidR="007C6B0A" w:rsidRDefault="005F5BBA">
      <w:pPr>
        <w:pStyle w:val="BodyText"/>
      </w:pPr>
      <w:r>
        <w:t xml:space="preserve">Note that, </w:t>
      </w:r>
      <w:r w:rsidR="00857132">
        <w:t xml:space="preserve">if </w:t>
      </w:r>
      <w:r w:rsidR="00504268">
        <w:t xml:space="preserve">2-step RA </w:t>
      </w:r>
      <w:r w:rsidR="00857132">
        <w:t xml:space="preserve">shares RACH resources with </w:t>
      </w:r>
      <w:r w:rsidR="00504268">
        <w:t>4-step RA,</w:t>
      </w:r>
      <w:r w:rsidR="007C6B0A">
        <w:t xml:space="preserve"> the </w:t>
      </w:r>
      <w:r w:rsidR="00F62EA9">
        <w:t>SSB-associated</w:t>
      </w:r>
      <w:r w:rsidR="007C6B0A">
        <w:t xml:space="preserve"> </w:t>
      </w:r>
      <w:r w:rsidR="000C5F43">
        <w:t>contention-based</w:t>
      </w:r>
      <w:r>
        <w:t xml:space="preserve"> </w:t>
      </w:r>
      <w:r w:rsidR="007C6B0A">
        <w:t xml:space="preserve">preambles used for 2-step RA look like </w:t>
      </w:r>
      <w:r w:rsidR="000C5F43">
        <w:t>contention-free</w:t>
      </w:r>
      <w:r w:rsidR="007C6B0A">
        <w:t xml:space="preserve"> preambles</w:t>
      </w:r>
      <w:r w:rsidR="00504268">
        <w:t xml:space="preserve"> to a Rel-15 UE</w:t>
      </w:r>
      <w:r w:rsidR="007C6B0A">
        <w:t>.</w:t>
      </w:r>
      <w:r w:rsidR="00504268">
        <w:t xml:space="preserve"> There is therefore no risk that a Rel-15 UE uses the 2-step RA preambles</w:t>
      </w:r>
      <w:r w:rsidR="002B6E1C">
        <w:t>, thus</w:t>
      </w:r>
      <w:r w:rsidR="00504268">
        <w:t xml:space="preserve"> mak</w:t>
      </w:r>
      <w:r w:rsidR="002B6E1C">
        <w:t>ing</w:t>
      </w:r>
      <w:r w:rsidR="00504268">
        <w:t xml:space="preserve"> the solution backwards compatible.</w:t>
      </w:r>
    </w:p>
    <w:p w14:paraId="4FF5B897" w14:textId="6E6ACE99" w:rsidR="00857132" w:rsidRDefault="00857132">
      <w:pPr>
        <w:pStyle w:val="BodyText"/>
      </w:pPr>
      <w:r>
        <w:t xml:space="preserve">If 2-step RA shares RACH resources with 4-step RA, it is also possible to restrict the RACH resources that can be used for 2-step RA. </w:t>
      </w:r>
      <w:r w:rsidR="00E736A5">
        <w:t xml:space="preserve">This is done by configuring a </w:t>
      </w:r>
      <w:r>
        <w:t>RACH occasion mask</w:t>
      </w:r>
      <w:r w:rsidR="003B4B84">
        <w:t xml:space="preserve"> (</w:t>
      </w:r>
      <w:r w:rsidR="008A74E4">
        <w:t xml:space="preserve">indicated via the field </w:t>
      </w:r>
      <w:r w:rsidR="003B4B84" w:rsidRPr="003B4B84">
        <w:rPr>
          <w:i/>
          <w:iCs/>
        </w:rPr>
        <w:t>msgA-</w:t>
      </w:r>
      <w:r w:rsidR="003B4B84" w:rsidRPr="003B4B84">
        <w:rPr>
          <w:i/>
          <w:iCs/>
        </w:rPr>
        <w:lastRenderedPageBreak/>
        <w:t>SSB-SharedRO-MaskIndex</w:t>
      </w:r>
      <w:r w:rsidR="008A74E4">
        <w:t xml:space="preserve"> in the </w:t>
      </w:r>
      <w:r w:rsidR="008A74E4" w:rsidRPr="002B6E1C">
        <w:rPr>
          <w:i/>
          <w:iCs/>
        </w:rPr>
        <w:t>RACH-ConfigCommonTwoStepRA</w:t>
      </w:r>
      <w:r w:rsidR="008A74E4">
        <w:t xml:space="preserve"> IE</w:t>
      </w:r>
      <w:r w:rsidR="003B4B84">
        <w:t>)</w:t>
      </w:r>
      <w:r w:rsidR="00E736A5">
        <w:t xml:space="preserve"> which</w:t>
      </w:r>
      <w:r>
        <w:t xml:space="preserve"> indicates which </w:t>
      </w:r>
      <w:r w:rsidR="00E736A5">
        <w:t xml:space="preserve">of the </w:t>
      </w:r>
      <w:r>
        <w:t xml:space="preserve">SSB-associated RACH occasions that can be used for the 2-step RA preamble transmission. Note that this assumes that an SSB is mapped to </w:t>
      </w:r>
      <w:r w:rsidR="00E736A5">
        <w:t>more than one RACH occasion.</w:t>
      </w:r>
    </w:p>
    <w:p w14:paraId="2E412C2A" w14:textId="77777777" w:rsidR="007C6B0A" w:rsidRDefault="007C6B0A" w:rsidP="00EC72AB">
      <w:pPr>
        <w:pStyle w:val="BodyText"/>
      </w:pPr>
    </w:p>
    <w:p w14:paraId="4BD1337D" w14:textId="214584CA" w:rsidR="007F4082" w:rsidRDefault="005F5BBA" w:rsidP="00EC43E8">
      <w:pPr>
        <w:pStyle w:val="BodyText"/>
        <w:jc w:val="center"/>
      </w:pPr>
      <w:r>
        <w:rPr>
          <w:noProof/>
        </w:rPr>
        <w:drawing>
          <wp:inline distT="0" distB="0" distL="0" distR="0" wp14:anchorId="71674065" wp14:editId="4EC5C3F6">
            <wp:extent cx="6141600" cy="316080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1600" cy="3160800"/>
                    </a:xfrm>
                    <a:prstGeom prst="rect">
                      <a:avLst/>
                    </a:prstGeom>
                    <a:noFill/>
                  </pic:spPr>
                </pic:pic>
              </a:graphicData>
            </a:graphic>
          </wp:inline>
        </w:drawing>
      </w:r>
    </w:p>
    <w:p w14:paraId="2F55D53D" w14:textId="72A60C82" w:rsidR="007F4082" w:rsidRDefault="007F4082" w:rsidP="00EC72AB">
      <w:pPr>
        <w:pStyle w:val="BodyText"/>
        <w:jc w:val="center"/>
      </w:pPr>
    </w:p>
    <w:p w14:paraId="573FF1E2" w14:textId="4CC52EB5" w:rsidR="00A524A2" w:rsidRDefault="00C971E1" w:rsidP="009D411F">
      <w:pPr>
        <w:pStyle w:val="Caption"/>
        <w:jc w:val="center"/>
      </w:pPr>
      <w:r w:rsidRPr="00B623F5">
        <w:t>Figure</w:t>
      </w:r>
      <w:r>
        <w:t xml:space="preserve"> </w:t>
      </w:r>
      <w:fldSimple w:instr=" SEQ Figure \* ARABIC ">
        <w:r w:rsidR="00AA7BED">
          <w:rPr>
            <w:noProof/>
          </w:rPr>
          <w:t>4</w:t>
        </w:r>
      </w:fldSimple>
      <w:r w:rsidR="006A70F7">
        <w:rPr>
          <w:noProof/>
        </w:rPr>
        <w:t>:</w:t>
      </w:r>
      <w:r>
        <w:t xml:space="preserve"> Preamble partitioning in case of shared RACH resource</w:t>
      </w:r>
      <w:r w:rsidR="00A93B7A">
        <w:t>s</w:t>
      </w:r>
      <w:r>
        <w:t xml:space="preserve"> for 4-step and 2-step RA</w:t>
      </w:r>
    </w:p>
    <w:p w14:paraId="2A90446B" w14:textId="02D57375" w:rsidR="007F4082" w:rsidRDefault="002A43EF" w:rsidP="007F4082">
      <w:pPr>
        <w:pStyle w:val="Heading2"/>
      </w:pPr>
      <w:r>
        <w:t>2</w:t>
      </w:r>
      <w:r w:rsidR="007F4082">
        <w:t>.</w:t>
      </w:r>
      <w:r>
        <w:t>3</w:t>
      </w:r>
      <w:r w:rsidR="007F4082">
        <w:t xml:space="preserve"> RACH partitioning for Rel-17 features</w:t>
      </w:r>
    </w:p>
    <w:p w14:paraId="0D594F2B" w14:textId="4D6B52DD" w:rsidR="00984C13" w:rsidRPr="00984C13" w:rsidRDefault="00984C13" w:rsidP="00984C13">
      <w:pPr>
        <w:pStyle w:val="Heading3"/>
      </w:pPr>
      <w:r>
        <w:t>2.</w:t>
      </w:r>
      <w:r w:rsidR="002A43EF">
        <w:t>3.1</w:t>
      </w:r>
      <w:r>
        <w:t xml:space="preserve"> General</w:t>
      </w:r>
    </w:p>
    <w:p w14:paraId="283C76B5" w14:textId="0028FF67" w:rsidR="00997E99" w:rsidRDefault="00997E99" w:rsidP="00BB54D4">
      <w:pPr>
        <w:pStyle w:val="BodyText"/>
      </w:pPr>
      <w:r>
        <w:t xml:space="preserve">The amount of RACH resources and/or preambles is typically slightly over-dimensioned to cope with access peaks and </w:t>
      </w:r>
      <w:r w:rsidR="005F797A">
        <w:t xml:space="preserve">other uncertainties in the estimated RACH load. </w:t>
      </w:r>
      <w:r>
        <w:t xml:space="preserve"> With RACH partitioning the over-dimensioning needs to be done for each partition separately</w:t>
      </w:r>
      <w:r w:rsidR="002B6E1C">
        <w:t>,</w:t>
      </w:r>
      <w:r>
        <w:t xml:space="preserve"> which means the total </w:t>
      </w:r>
      <w:r w:rsidR="002B6E1C">
        <w:t xml:space="preserve">required </w:t>
      </w:r>
      <w:r>
        <w:t>amount of RACH resources and preambles increases compared to when partitioning is not used. The specification complexity also increases with RACH portioning since all the partitions resulting from the different combinations of features need to be possible to configure via RRC signalling. For these reasons</w:t>
      </w:r>
      <w:r w:rsidR="002B6E1C">
        <w:t>, it is desired</w:t>
      </w:r>
      <w:r>
        <w:t xml:space="preserve"> to </w:t>
      </w:r>
      <w:r w:rsidR="002B6E1C">
        <w:t>minimize</w:t>
      </w:r>
      <w:r>
        <w:t xml:space="preserve"> the amount of RACH partitioning.</w:t>
      </w:r>
    </w:p>
    <w:p w14:paraId="7A120C9F" w14:textId="188EC691" w:rsidR="00997E99" w:rsidRDefault="00997E99" w:rsidP="00BB54D4">
      <w:pPr>
        <w:pStyle w:val="Observation"/>
      </w:pPr>
      <w:bookmarkStart w:id="1" w:name="_Toc71571851"/>
      <w:r>
        <w:t>RACH partitioning should generally be avoided</w:t>
      </w:r>
      <w:r w:rsidR="002B6E1C">
        <w:t>,</w:t>
      </w:r>
      <w:r>
        <w:t xml:space="preserve"> to reduce radio resource overhead/processing and to reduce specification complexity</w:t>
      </w:r>
      <w:r w:rsidR="002B6E1C">
        <w:t>.</w:t>
      </w:r>
      <w:bookmarkEnd w:id="1"/>
    </w:p>
    <w:p w14:paraId="3E7275BB" w14:textId="37294901" w:rsidR="00F86CA6" w:rsidRDefault="00474A58" w:rsidP="00BB54D4">
      <w:pPr>
        <w:pStyle w:val="BodyText"/>
      </w:pPr>
      <w:r>
        <w:t>As we saw in the previous sections, in addition to the SSB/beam RACH partitioning, we already have RACH partitioning for group A/B and 2-step RA</w:t>
      </w:r>
      <w:r w:rsidR="00C66AF6">
        <w:t>,</w:t>
      </w:r>
      <w:r w:rsidR="004D1C5A">
        <w:t xml:space="preserve"> and i</w:t>
      </w:r>
      <w:r w:rsidR="00752EC1">
        <w:t xml:space="preserve">n Rel-17 it is possible that RACH partitioning will also be introduced for RedCap, SDT, CovEnh and </w:t>
      </w:r>
      <w:r w:rsidR="004D1C5A">
        <w:t>slicing.</w:t>
      </w:r>
    </w:p>
    <w:p w14:paraId="0BCC02D6" w14:textId="51C7BF57" w:rsidR="00F86CA6" w:rsidRDefault="00F86CA6" w:rsidP="00BB54D4">
      <w:pPr>
        <w:pStyle w:val="Observation"/>
      </w:pPr>
      <w:bookmarkStart w:id="2" w:name="_Toc71571852"/>
      <w:r>
        <w:t xml:space="preserve">RACH partitioning </w:t>
      </w:r>
      <w:r w:rsidR="00093289">
        <w:t>is already used today for determining the SSB/beam and for differentiating between 2-step and 4-step RA and between group A and B.</w:t>
      </w:r>
      <w:bookmarkEnd w:id="2"/>
    </w:p>
    <w:p w14:paraId="2179B30F" w14:textId="71680F38" w:rsidR="00EE0AC6" w:rsidRDefault="00BB54D4" w:rsidP="00D5162B">
      <w:pPr>
        <w:pStyle w:val="BodyText"/>
      </w:pPr>
      <w:r>
        <w:t>In general, assuming binary (on/off) features and assuming that it should be possible to indicate all combination</w:t>
      </w:r>
      <w:r w:rsidR="005F797A">
        <w:t>s</w:t>
      </w:r>
      <w:r>
        <w:t xml:space="preserve"> of features, the number of partitions grows as </w:t>
      </w:r>
      <w:r w:rsidR="004D1C5A" w:rsidRPr="002B6E1C">
        <w:rPr>
          <w:i/>
          <w:iCs/>
        </w:rPr>
        <w:t xml:space="preserve">n x </w:t>
      </w:r>
      <w:r w:rsidRPr="002B6E1C">
        <w:rPr>
          <w:i/>
          <w:iCs/>
        </w:rPr>
        <w:t>2^</w:t>
      </w:r>
      <w:r w:rsidR="004D1C5A" w:rsidRPr="002B6E1C">
        <w:rPr>
          <w:i/>
          <w:iCs/>
        </w:rPr>
        <w:t>k</w:t>
      </w:r>
      <w:r>
        <w:t xml:space="preserve"> where </w:t>
      </w:r>
      <w:r w:rsidR="004D1C5A" w:rsidRPr="002B6E1C">
        <w:rPr>
          <w:i/>
          <w:iCs/>
        </w:rPr>
        <w:t>n</w:t>
      </w:r>
      <w:r w:rsidR="004D1C5A">
        <w:t xml:space="preserve"> is the number of SSBs</w:t>
      </w:r>
      <w:r w:rsidR="005F797A">
        <w:t xml:space="preserve"> and</w:t>
      </w:r>
      <w:r w:rsidR="004D1C5A">
        <w:t xml:space="preserve"> </w:t>
      </w:r>
      <w:r w:rsidR="004D1C5A" w:rsidRPr="002B6E1C">
        <w:rPr>
          <w:i/>
          <w:iCs/>
        </w:rPr>
        <w:t>k</w:t>
      </w:r>
      <w:r>
        <w:t xml:space="preserve"> is the number of features. </w:t>
      </w:r>
      <w:r w:rsidR="00752EC1">
        <w:t xml:space="preserve">However, some </w:t>
      </w:r>
      <w:r w:rsidR="004D1C5A">
        <w:t xml:space="preserve">combinations can be excluded </w:t>
      </w:r>
      <w:r w:rsidR="005F797A">
        <w:t>because</w:t>
      </w:r>
      <w:r w:rsidR="004D1C5A">
        <w:t xml:space="preserve"> some </w:t>
      </w:r>
      <w:r w:rsidR="00752EC1">
        <w:t xml:space="preserve">features are </w:t>
      </w:r>
      <w:r w:rsidR="004D1C5A">
        <w:t xml:space="preserve">not compatible with each other. </w:t>
      </w:r>
      <w:r w:rsidR="00EE0AC6">
        <w:t>It is also expected that not all feature</w:t>
      </w:r>
      <w:r w:rsidR="002B6E1C">
        <w:t xml:space="preserve"> combinations</w:t>
      </w:r>
      <w:r w:rsidR="00EE0AC6">
        <w:t xml:space="preserve"> will be used in practice (at least not simultaneously in the same deployment) which will further reduce the number of combinations</w:t>
      </w:r>
      <w:r w:rsidR="00A8118A">
        <w:t xml:space="preserve"> in a real deployment</w:t>
      </w:r>
      <w:r w:rsidR="00EE0AC6">
        <w:t>.</w:t>
      </w:r>
    </w:p>
    <w:p w14:paraId="66FE4072" w14:textId="6F9E1B5F" w:rsidR="00F86CA6" w:rsidRDefault="00F86CA6" w:rsidP="00F86CA6">
      <w:pPr>
        <w:pStyle w:val="Observation"/>
      </w:pPr>
      <w:bookmarkStart w:id="3" w:name="_Toc71571853"/>
      <w:r>
        <w:t>In general, the number of RACH partitions grows exponentially with the number of features</w:t>
      </w:r>
      <w:r w:rsidR="0067694E">
        <w:t>.</w:t>
      </w:r>
      <w:bookmarkEnd w:id="3"/>
    </w:p>
    <w:p w14:paraId="42FB3AA4" w14:textId="1F8D087F" w:rsidR="00F86CA6" w:rsidRDefault="00F86CA6" w:rsidP="00F86CA6">
      <w:pPr>
        <w:pStyle w:val="Observation"/>
      </w:pPr>
      <w:bookmarkStart w:id="4" w:name="_Toc71571854"/>
      <w:r>
        <w:lastRenderedPageBreak/>
        <w:t>Some feature combinations can be excluded due to feature incompatibility</w:t>
      </w:r>
      <w:r w:rsidR="0067694E">
        <w:t>.</w:t>
      </w:r>
      <w:bookmarkEnd w:id="4"/>
    </w:p>
    <w:p w14:paraId="5C98A4FC" w14:textId="51711A46" w:rsidR="00F86CA6" w:rsidRDefault="00F86CA6" w:rsidP="00D5162B">
      <w:pPr>
        <w:pStyle w:val="Observation"/>
      </w:pPr>
      <w:bookmarkStart w:id="5" w:name="_Toc71571855"/>
      <w:r>
        <w:t>In real deployment it is expected that only a subset of the features and feature combinations will be enabled.</w:t>
      </w:r>
      <w:bookmarkEnd w:id="5"/>
    </w:p>
    <w:p w14:paraId="65EF5623" w14:textId="49E27CB6" w:rsidR="00D5162B" w:rsidRDefault="004D1C5A" w:rsidP="00D5162B">
      <w:pPr>
        <w:pStyle w:val="BodyText"/>
      </w:pPr>
      <w:r>
        <w:t xml:space="preserve">The table below gives a preliminary view of which other features each of the Rel-17 features </w:t>
      </w:r>
      <w:r w:rsidR="004C14BA">
        <w:t>is</w:t>
      </w:r>
      <w:r>
        <w:t xml:space="preserve"> compatible with.</w:t>
      </w:r>
      <w:r w:rsidR="00D5162B">
        <w:t xml:space="preserve"> </w:t>
      </w:r>
      <w:r w:rsidR="00EE0AC6">
        <w:t xml:space="preserve">For example, </w:t>
      </w:r>
      <w:r w:rsidR="002F49FB">
        <w:t>i</w:t>
      </w:r>
      <w:r w:rsidR="00EE0AC6">
        <w:t xml:space="preserve">t is expected that CovEnh </w:t>
      </w:r>
      <w:r w:rsidR="002F49FB">
        <w:t>will not be possible to combi</w:t>
      </w:r>
      <w:r w:rsidR="00491CFF">
        <w:t>n</w:t>
      </w:r>
      <w:r w:rsidR="002F49FB">
        <w:t xml:space="preserve">e </w:t>
      </w:r>
      <w:r w:rsidR="00EE0AC6">
        <w:t>with group A/B, SDT or 2-step RA since those features require that the UE is in good coverage.</w:t>
      </w:r>
      <w:r w:rsidR="00984C13">
        <w:t xml:space="preserve"> It might also be that </w:t>
      </w:r>
      <w:r w:rsidR="006C0FB0">
        <w:t>additional</w:t>
      </w:r>
      <w:r w:rsidR="00984C13">
        <w:t xml:space="preserve"> combinations are excluded to keep the signalling complexity at a reasonable level.</w:t>
      </w:r>
      <w:r w:rsidR="00081C64">
        <w:t xml:space="preserve"> Note that the reason for allowing SDT to be combined with group A/B is because we expect that there may be a need to support two different sizes for MSG3/MSGA when SDT is used</w:t>
      </w:r>
      <w:r w:rsidR="006E5555">
        <w:t xml:space="preserve"> (although they may not be called group A/B but rather something new, e.g. SDT TBS1 and TBS2)</w:t>
      </w:r>
      <w:r w:rsidR="00081C64">
        <w:t>.</w:t>
      </w:r>
    </w:p>
    <w:p w14:paraId="497F5C70" w14:textId="444C9D7B" w:rsidR="00752EC1" w:rsidRDefault="004C14BA" w:rsidP="004C14BA">
      <w:pPr>
        <w:pStyle w:val="Caption"/>
        <w:jc w:val="center"/>
      </w:pPr>
      <w:bookmarkStart w:id="6" w:name="_Ref70945928"/>
      <w:r>
        <w:t xml:space="preserve">Table </w:t>
      </w:r>
      <w:fldSimple w:instr=" SEQ Table \* ARABIC ">
        <w:r>
          <w:rPr>
            <w:noProof/>
          </w:rPr>
          <w:t>1</w:t>
        </w:r>
      </w:fldSimple>
      <w:bookmarkEnd w:id="6"/>
      <w:r>
        <w:t xml:space="preserve"> Rel-17 feature compatibility</w:t>
      </w:r>
    </w:p>
    <w:tbl>
      <w:tblPr>
        <w:tblStyle w:val="TableGrid2"/>
        <w:tblW w:w="0" w:type="auto"/>
        <w:jc w:val="center"/>
        <w:tblLook w:val="04A0" w:firstRow="1" w:lastRow="0" w:firstColumn="1" w:lastColumn="0" w:noHBand="0" w:noVBand="1"/>
      </w:tblPr>
      <w:tblGrid>
        <w:gridCol w:w="1288"/>
        <w:gridCol w:w="1288"/>
        <w:gridCol w:w="1288"/>
        <w:gridCol w:w="1288"/>
        <w:gridCol w:w="1288"/>
        <w:gridCol w:w="1288"/>
        <w:gridCol w:w="1288"/>
      </w:tblGrid>
      <w:tr w:rsidR="004D1C5A" w:rsidRPr="004D1C5A" w14:paraId="671C1016" w14:textId="77777777" w:rsidTr="004C14BA">
        <w:trPr>
          <w:jc w:val="center"/>
        </w:trPr>
        <w:tc>
          <w:tcPr>
            <w:tcW w:w="1288" w:type="dxa"/>
            <w:shd w:val="clear" w:color="auto" w:fill="D9D9D9" w:themeFill="background1" w:themeFillShade="D9"/>
          </w:tcPr>
          <w:p w14:paraId="2D67811A" w14:textId="77777777" w:rsidR="004D1C5A" w:rsidRPr="004C14BA" w:rsidRDefault="004D1C5A" w:rsidP="004D1C5A">
            <w:pPr>
              <w:overflowPunct/>
              <w:autoSpaceDE/>
              <w:autoSpaceDN/>
              <w:adjustRightInd/>
              <w:spacing w:after="0"/>
              <w:jc w:val="center"/>
              <w:textAlignment w:val="auto"/>
              <w:rPr>
                <w:rFonts w:ascii="Arial" w:hAnsi="Arial" w:cs="Arial"/>
                <w:b/>
                <w:bCs/>
                <w:lang w:eastAsia="en-US"/>
              </w:rPr>
            </w:pPr>
          </w:p>
        </w:tc>
        <w:tc>
          <w:tcPr>
            <w:tcW w:w="1288" w:type="dxa"/>
            <w:shd w:val="clear" w:color="auto" w:fill="D9D9D9" w:themeFill="background1" w:themeFillShade="D9"/>
          </w:tcPr>
          <w:p w14:paraId="76D08BA6"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A/B</w:t>
            </w:r>
          </w:p>
        </w:tc>
        <w:tc>
          <w:tcPr>
            <w:tcW w:w="1288" w:type="dxa"/>
            <w:shd w:val="clear" w:color="auto" w:fill="D9D9D9" w:themeFill="background1" w:themeFillShade="D9"/>
          </w:tcPr>
          <w:p w14:paraId="398A4AE7"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2-step RA</w:t>
            </w:r>
          </w:p>
        </w:tc>
        <w:tc>
          <w:tcPr>
            <w:tcW w:w="1288" w:type="dxa"/>
            <w:shd w:val="clear" w:color="auto" w:fill="D9D9D9" w:themeFill="background1" w:themeFillShade="D9"/>
          </w:tcPr>
          <w:p w14:paraId="09685377"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RedCap</w:t>
            </w:r>
          </w:p>
        </w:tc>
        <w:tc>
          <w:tcPr>
            <w:tcW w:w="1288" w:type="dxa"/>
            <w:shd w:val="clear" w:color="auto" w:fill="D9D9D9" w:themeFill="background1" w:themeFillShade="D9"/>
          </w:tcPr>
          <w:p w14:paraId="0256C404"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SDT</w:t>
            </w:r>
          </w:p>
        </w:tc>
        <w:tc>
          <w:tcPr>
            <w:tcW w:w="1288" w:type="dxa"/>
            <w:shd w:val="clear" w:color="auto" w:fill="D9D9D9" w:themeFill="background1" w:themeFillShade="D9"/>
          </w:tcPr>
          <w:p w14:paraId="55AA8161"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CovEnh</w:t>
            </w:r>
          </w:p>
        </w:tc>
        <w:tc>
          <w:tcPr>
            <w:tcW w:w="1288" w:type="dxa"/>
            <w:shd w:val="clear" w:color="auto" w:fill="D9D9D9" w:themeFill="background1" w:themeFillShade="D9"/>
          </w:tcPr>
          <w:p w14:paraId="09323B5D"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Slicing</w:t>
            </w:r>
          </w:p>
        </w:tc>
      </w:tr>
      <w:tr w:rsidR="004D1C5A" w:rsidRPr="004D1C5A" w14:paraId="308097CB" w14:textId="77777777" w:rsidTr="004C14BA">
        <w:trPr>
          <w:jc w:val="center"/>
        </w:trPr>
        <w:tc>
          <w:tcPr>
            <w:tcW w:w="1288" w:type="dxa"/>
            <w:shd w:val="clear" w:color="auto" w:fill="D9D9D9" w:themeFill="background1" w:themeFillShade="D9"/>
          </w:tcPr>
          <w:p w14:paraId="3AA209C3"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RedCap</w:t>
            </w:r>
          </w:p>
        </w:tc>
        <w:tc>
          <w:tcPr>
            <w:tcW w:w="1288" w:type="dxa"/>
          </w:tcPr>
          <w:p w14:paraId="755D5BA6"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1991D908"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0B3FC6C6"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Arial" w:hAnsi="Arial" w:cs="Arial"/>
                <w:shd w:val="clear" w:color="auto" w:fill="FFFFFF"/>
                <w:lang w:eastAsia="en-US"/>
              </w:rPr>
              <w:t>N/A</w:t>
            </w:r>
          </w:p>
        </w:tc>
        <w:tc>
          <w:tcPr>
            <w:tcW w:w="1288" w:type="dxa"/>
          </w:tcPr>
          <w:p w14:paraId="28B95C9E"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6A22E633"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57E61355" w14:textId="77777777" w:rsidR="004D1C5A" w:rsidRPr="004C14BA" w:rsidRDefault="004D1C5A" w:rsidP="004D1C5A">
            <w:pPr>
              <w:overflowPunct/>
              <w:autoSpaceDE/>
              <w:autoSpaceDN/>
              <w:adjustRightInd/>
              <w:spacing w:after="0"/>
              <w:jc w:val="center"/>
              <w:textAlignment w:val="auto"/>
              <w:rPr>
                <w:rFonts w:ascii="Arial" w:hAnsi="Arial" w:cs="Arial"/>
                <w:color w:val="92D050"/>
                <w:shd w:val="clear" w:color="auto" w:fill="FFFFFF"/>
                <w:lang w:eastAsia="en-US"/>
              </w:rPr>
            </w:pPr>
            <w:r w:rsidRPr="004C14BA">
              <w:rPr>
                <w:rFonts w:ascii="Segoe UI Emoji" w:hAnsi="Segoe UI Emoji" w:cs="Segoe UI Emoji"/>
                <w:color w:val="92D050"/>
                <w:shd w:val="clear" w:color="auto" w:fill="FFFFFF"/>
                <w:lang w:eastAsia="en-US"/>
              </w:rPr>
              <w:t>✔</w:t>
            </w:r>
          </w:p>
        </w:tc>
      </w:tr>
      <w:tr w:rsidR="004D1C5A" w:rsidRPr="004D1C5A" w14:paraId="742D76C9" w14:textId="77777777" w:rsidTr="004C14BA">
        <w:trPr>
          <w:jc w:val="center"/>
        </w:trPr>
        <w:tc>
          <w:tcPr>
            <w:tcW w:w="1288" w:type="dxa"/>
            <w:shd w:val="clear" w:color="auto" w:fill="D9D9D9" w:themeFill="background1" w:themeFillShade="D9"/>
          </w:tcPr>
          <w:p w14:paraId="504C2082"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SDT</w:t>
            </w:r>
          </w:p>
        </w:tc>
        <w:tc>
          <w:tcPr>
            <w:tcW w:w="1288" w:type="dxa"/>
          </w:tcPr>
          <w:p w14:paraId="13880C4C" w14:textId="7FAF2BD0" w:rsidR="004D1C5A" w:rsidRPr="004C14BA" w:rsidRDefault="002F49FB"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654C76C1"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4174BE54"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36B66BCA"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Arial" w:hAnsi="Arial" w:cs="Arial"/>
                <w:shd w:val="clear" w:color="auto" w:fill="FFFFFF"/>
                <w:lang w:eastAsia="en-US"/>
              </w:rPr>
              <w:t>N/A</w:t>
            </w:r>
          </w:p>
        </w:tc>
        <w:tc>
          <w:tcPr>
            <w:tcW w:w="1288" w:type="dxa"/>
          </w:tcPr>
          <w:p w14:paraId="0F5204F8"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FF0000"/>
                <w:shd w:val="clear" w:color="auto" w:fill="FFFFFF"/>
                <w:lang w:eastAsia="en-US"/>
              </w:rPr>
              <w:t>✖</w:t>
            </w:r>
          </w:p>
        </w:tc>
        <w:tc>
          <w:tcPr>
            <w:tcW w:w="1288" w:type="dxa"/>
          </w:tcPr>
          <w:p w14:paraId="589556BD" w14:textId="77777777" w:rsidR="004D1C5A" w:rsidRPr="004C14BA" w:rsidRDefault="004D1C5A" w:rsidP="004D1C5A">
            <w:pPr>
              <w:overflowPunct/>
              <w:autoSpaceDE/>
              <w:autoSpaceDN/>
              <w:adjustRightInd/>
              <w:spacing w:after="0"/>
              <w:jc w:val="center"/>
              <w:textAlignment w:val="auto"/>
              <w:rPr>
                <w:rFonts w:ascii="Arial" w:hAnsi="Arial" w:cs="Arial"/>
                <w:color w:val="92D050"/>
                <w:shd w:val="clear" w:color="auto" w:fill="FFFFFF"/>
                <w:lang w:eastAsia="en-US"/>
              </w:rPr>
            </w:pPr>
            <w:r w:rsidRPr="004C14BA">
              <w:rPr>
                <w:rFonts w:ascii="Segoe UI Emoji" w:hAnsi="Segoe UI Emoji" w:cs="Segoe UI Emoji"/>
                <w:color w:val="92D050"/>
                <w:shd w:val="clear" w:color="auto" w:fill="FFFFFF"/>
                <w:lang w:eastAsia="en-US"/>
              </w:rPr>
              <w:t>✔</w:t>
            </w:r>
          </w:p>
        </w:tc>
      </w:tr>
      <w:tr w:rsidR="004D1C5A" w:rsidRPr="004D1C5A" w14:paraId="5A36302B" w14:textId="77777777" w:rsidTr="004C14BA">
        <w:trPr>
          <w:jc w:val="center"/>
        </w:trPr>
        <w:tc>
          <w:tcPr>
            <w:tcW w:w="1288" w:type="dxa"/>
            <w:shd w:val="clear" w:color="auto" w:fill="D9D9D9" w:themeFill="background1" w:themeFillShade="D9"/>
          </w:tcPr>
          <w:p w14:paraId="0F32ECF7"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CovEnh</w:t>
            </w:r>
          </w:p>
        </w:tc>
        <w:tc>
          <w:tcPr>
            <w:tcW w:w="1288" w:type="dxa"/>
          </w:tcPr>
          <w:p w14:paraId="2FB98198"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FF0000"/>
                <w:shd w:val="clear" w:color="auto" w:fill="FFFFFF"/>
                <w:lang w:eastAsia="en-US"/>
              </w:rPr>
              <w:t>✖</w:t>
            </w:r>
          </w:p>
        </w:tc>
        <w:tc>
          <w:tcPr>
            <w:tcW w:w="1288" w:type="dxa"/>
          </w:tcPr>
          <w:p w14:paraId="7AAD7118"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FF0000"/>
                <w:shd w:val="clear" w:color="auto" w:fill="FFFFFF"/>
                <w:lang w:eastAsia="en-US"/>
              </w:rPr>
              <w:t>✖</w:t>
            </w:r>
          </w:p>
        </w:tc>
        <w:tc>
          <w:tcPr>
            <w:tcW w:w="1288" w:type="dxa"/>
          </w:tcPr>
          <w:p w14:paraId="6AD88D7E"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10B90AA5"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FF0000"/>
                <w:shd w:val="clear" w:color="auto" w:fill="FFFFFF"/>
                <w:lang w:eastAsia="en-US"/>
              </w:rPr>
              <w:t>✖</w:t>
            </w:r>
          </w:p>
        </w:tc>
        <w:tc>
          <w:tcPr>
            <w:tcW w:w="1288" w:type="dxa"/>
          </w:tcPr>
          <w:p w14:paraId="25DA16C3"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Arial" w:hAnsi="Arial" w:cs="Arial"/>
                <w:shd w:val="clear" w:color="auto" w:fill="FFFFFF"/>
                <w:lang w:eastAsia="en-US"/>
              </w:rPr>
              <w:t>N/A</w:t>
            </w:r>
          </w:p>
        </w:tc>
        <w:tc>
          <w:tcPr>
            <w:tcW w:w="1288" w:type="dxa"/>
          </w:tcPr>
          <w:p w14:paraId="3AA800DF" w14:textId="77777777" w:rsidR="004D1C5A" w:rsidRPr="004C14BA" w:rsidRDefault="004D1C5A" w:rsidP="004D1C5A">
            <w:pPr>
              <w:overflowPunct/>
              <w:autoSpaceDE/>
              <w:autoSpaceDN/>
              <w:adjustRightInd/>
              <w:spacing w:after="0"/>
              <w:jc w:val="center"/>
              <w:textAlignment w:val="auto"/>
              <w:rPr>
                <w:rFonts w:ascii="Arial" w:hAnsi="Arial" w:cs="Arial"/>
                <w:color w:val="92D050"/>
                <w:shd w:val="clear" w:color="auto" w:fill="FFFFFF"/>
                <w:lang w:eastAsia="en-US"/>
              </w:rPr>
            </w:pPr>
            <w:r w:rsidRPr="004C14BA">
              <w:rPr>
                <w:rFonts w:ascii="Segoe UI Emoji" w:hAnsi="Segoe UI Emoji" w:cs="Segoe UI Emoji"/>
                <w:color w:val="92D050"/>
                <w:shd w:val="clear" w:color="auto" w:fill="FFFFFF"/>
                <w:lang w:eastAsia="en-US"/>
              </w:rPr>
              <w:t>✔</w:t>
            </w:r>
          </w:p>
        </w:tc>
      </w:tr>
      <w:tr w:rsidR="004D1C5A" w:rsidRPr="004D1C5A" w14:paraId="54ED5B9A" w14:textId="77777777" w:rsidTr="004C14BA">
        <w:trPr>
          <w:jc w:val="center"/>
        </w:trPr>
        <w:tc>
          <w:tcPr>
            <w:tcW w:w="1288" w:type="dxa"/>
            <w:shd w:val="clear" w:color="auto" w:fill="D9D9D9" w:themeFill="background1" w:themeFillShade="D9"/>
          </w:tcPr>
          <w:p w14:paraId="6BE2D48F" w14:textId="77777777" w:rsidR="004D1C5A" w:rsidRPr="004C14BA" w:rsidRDefault="004D1C5A" w:rsidP="004D1C5A">
            <w:pPr>
              <w:overflowPunct/>
              <w:autoSpaceDE/>
              <w:autoSpaceDN/>
              <w:adjustRightInd/>
              <w:spacing w:after="0"/>
              <w:jc w:val="center"/>
              <w:textAlignment w:val="auto"/>
              <w:rPr>
                <w:rFonts w:ascii="Arial" w:hAnsi="Arial" w:cs="Arial"/>
                <w:b/>
                <w:bCs/>
                <w:lang w:val="sv-SE" w:eastAsia="en-US"/>
              </w:rPr>
            </w:pPr>
            <w:r w:rsidRPr="004C14BA">
              <w:rPr>
                <w:rFonts w:ascii="Arial" w:hAnsi="Arial" w:cs="Arial"/>
                <w:b/>
                <w:bCs/>
                <w:lang w:val="sv-SE" w:eastAsia="en-US"/>
              </w:rPr>
              <w:t>Slicing</w:t>
            </w:r>
          </w:p>
        </w:tc>
        <w:tc>
          <w:tcPr>
            <w:tcW w:w="1288" w:type="dxa"/>
          </w:tcPr>
          <w:p w14:paraId="78016436"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686E6BF8"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6F30E8C6"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425EF269"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4F8670FF" w14:textId="77777777" w:rsidR="004D1C5A" w:rsidRPr="004C14BA" w:rsidRDefault="004D1C5A" w:rsidP="004D1C5A">
            <w:pPr>
              <w:overflowPunct/>
              <w:autoSpaceDE/>
              <w:autoSpaceDN/>
              <w:adjustRightInd/>
              <w:spacing w:after="0"/>
              <w:jc w:val="center"/>
              <w:textAlignment w:val="auto"/>
              <w:rPr>
                <w:rFonts w:ascii="Arial" w:hAnsi="Arial" w:cs="Arial"/>
                <w:lang w:val="sv-SE" w:eastAsia="en-US"/>
              </w:rPr>
            </w:pPr>
            <w:r w:rsidRPr="004C14BA">
              <w:rPr>
                <w:rFonts w:ascii="Segoe UI Emoji" w:hAnsi="Segoe UI Emoji" w:cs="Segoe UI Emoji"/>
                <w:color w:val="92D050"/>
                <w:shd w:val="clear" w:color="auto" w:fill="FFFFFF"/>
                <w:lang w:eastAsia="en-US"/>
              </w:rPr>
              <w:t>✔</w:t>
            </w:r>
          </w:p>
        </w:tc>
        <w:tc>
          <w:tcPr>
            <w:tcW w:w="1288" w:type="dxa"/>
          </w:tcPr>
          <w:p w14:paraId="73A9D215" w14:textId="77777777" w:rsidR="004D1C5A" w:rsidRPr="004C14BA" w:rsidRDefault="004D1C5A" w:rsidP="004D1C5A">
            <w:pPr>
              <w:overflowPunct/>
              <w:autoSpaceDE/>
              <w:autoSpaceDN/>
              <w:adjustRightInd/>
              <w:spacing w:after="0"/>
              <w:jc w:val="center"/>
              <w:textAlignment w:val="auto"/>
              <w:rPr>
                <w:rFonts w:ascii="Arial" w:hAnsi="Arial" w:cs="Arial"/>
                <w:color w:val="92D050"/>
                <w:shd w:val="clear" w:color="auto" w:fill="FFFFFF"/>
                <w:lang w:eastAsia="en-US"/>
              </w:rPr>
            </w:pPr>
            <w:r w:rsidRPr="004C14BA">
              <w:rPr>
                <w:rFonts w:ascii="Arial" w:hAnsi="Arial" w:cs="Arial"/>
                <w:shd w:val="clear" w:color="auto" w:fill="FFFFFF"/>
                <w:lang w:eastAsia="en-US"/>
              </w:rPr>
              <w:t>N/A</w:t>
            </w:r>
          </w:p>
        </w:tc>
      </w:tr>
    </w:tbl>
    <w:p w14:paraId="5E50383D" w14:textId="77777777" w:rsidR="002361CD" w:rsidRDefault="002361CD" w:rsidP="00BB54D4">
      <w:pPr>
        <w:pStyle w:val="BodyText"/>
      </w:pPr>
    </w:p>
    <w:p w14:paraId="3EFDB9C5" w14:textId="261D4979" w:rsidR="000D10E2" w:rsidRDefault="000D10E2" w:rsidP="00785285">
      <w:pPr>
        <w:pStyle w:val="BodyText"/>
      </w:pPr>
      <w:r>
        <w:t>To further reduce the number of partitions it would be good to only consider binary features. In particular, this would imply that:</w:t>
      </w:r>
    </w:p>
    <w:p w14:paraId="66F94597" w14:textId="3C42E921" w:rsidR="00F86CA6" w:rsidRDefault="00F86CA6" w:rsidP="00F86CA6">
      <w:pPr>
        <w:pStyle w:val="BodyText"/>
        <w:numPr>
          <w:ilvl w:val="0"/>
          <w:numId w:val="25"/>
        </w:numPr>
      </w:pPr>
      <w:r>
        <w:t xml:space="preserve">For RedCap we only differentiate between RedCap and non-RedCap UE and not between different types of RedCap UEs (e.g. </w:t>
      </w:r>
      <w:r w:rsidR="00065EA1">
        <w:t xml:space="preserve">with </w:t>
      </w:r>
      <w:r w:rsidR="006E5555">
        <w:t>1 Rx branch pr 2 Rx branches</w:t>
      </w:r>
      <w:r>
        <w:t>)</w:t>
      </w:r>
    </w:p>
    <w:p w14:paraId="03EF93DE" w14:textId="06CEA2C1" w:rsidR="00F86CA6" w:rsidRDefault="00F86CA6" w:rsidP="00F86CA6">
      <w:pPr>
        <w:pStyle w:val="BodyText"/>
        <w:numPr>
          <w:ilvl w:val="0"/>
          <w:numId w:val="25"/>
        </w:numPr>
      </w:pPr>
      <w:r>
        <w:t>For slicing we only differentiate between prioritized and non-prioritized slices; we do not signal the identity of the slice in RACH or introduce some form of multi-level slice priority.</w:t>
      </w:r>
    </w:p>
    <w:p w14:paraId="3BA5982D" w14:textId="4018C599" w:rsidR="00E812C5" w:rsidRDefault="00E812C5" w:rsidP="00E812C5">
      <w:pPr>
        <w:pStyle w:val="BodyText"/>
      </w:pPr>
    </w:p>
    <w:p w14:paraId="5E79ACB3" w14:textId="008BA2B8" w:rsidR="000D10E2" w:rsidRDefault="000D10E2" w:rsidP="00E812C5">
      <w:pPr>
        <w:pStyle w:val="Observation"/>
      </w:pPr>
      <w:bookmarkStart w:id="7" w:name="_Toc71571856"/>
      <w:r>
        <w:t xml:space="preserve">Only considering binary (on/off) features will reduce the number of </w:t>
      </w:r>
      <w:r w:rsidR="000753D1">
        <w:t xml:space="preserve">RACH </w:t>
      </w:r>
      <w:r>
        <w:t>partitions</w:t>
      </w:r>
      <w:r w:rsidR="0067694E">
        <w:t>.</w:t>
      </w:r>
      <w:bookmarkEnd w:id="7"/>
    </w:p>
    <w:p w14:paraId="4549ED13" w14:textId="77777777" w:rsidR="002C4501" w:rsidRPr="00E812C5" w:rsidRDefault="002C4501" w:rsidP="00E812C5">
      <w:pPr>
        <w:pStyle w:val="BodyText"/>
      </w:pPr>
    </w:p>
    <w:p w14:paraId="3DB98A53" w14:textId="0494906D" w:rsidR="007F20CD" w:rsidRDefault="007F20CD" w:rsidP="007F20CD">
      <w:pPr>
        <w:pStyle w:val="Heading3"/>
      </w:pPr>
      <w:r>
        <w:t>2.</w:t>
      </w:r>
      <w:r w:rsidR="001B399C">
        <w:t>3.2</w:t>
      </w:r>
      <w:r>
        <w:t xml:space="preserve"> </w:t>
      </w:r>
      <w:r w:rsidR="007F61E1">
        <w:t>Design of a common solution</w:t>
      </w:r>
    </w:p>
    <w:p w14:paraId="1B0649E2" w14:textId="3972C830" w:rsidR="007F20CD" w:rsidRPr="007F20CD" w:rsidRDefault="007F61E1" w:rsidP="00C13EFA">
      <w:pPr>
        <w:pStyle w:val="BodyText"/>
      </w:pPr>
      <w:r>
        <w:t xml:space="preserve">To support RACH partitioning for the Rel-17 </w:t>
      </w:r>
      <w:r w:rsidR="005F6D65">
        <w:t xml:space="preserve">features </w:t>
      </w:r>
      <w:r>
        <w:t>one potential solution is to re-use the same principles as used for Rel-16 2-step RA.</w:t>
      </w:r>
    </w:p>
    <w:p w14:paraId="4CC682BF" w14:textId="550B8E00" w:rsidR="00AD6985" w:rsidRDefault="00AD6985" w:rsidP="00AD6985">
      <w:pPr>
        <w:pStyle w:val="Observation"/>
      </w:pPr>
      <w:bookmarkStart w:id="8" w:name="_Toc71571857"/>
      <w:r>
        <w:t xml:space="preserve">The same type of RACH partitioning used for Rel-16 2-step RA </w:t>
      </w:r>
      <w:r w:rsidR="007155B1">
        <w:t>(defined in RACH-ConfigCommonTwoStep</w:t>
      </w:r>
      <w:r w:rsidR="002361CD">
        <w:t>RA</w:t>
      </w:r>
      <w:r w:rsidR="007155B1">
        <w:t xml:space="preserve">) </w:t>
      </w:r>
      <w:r>
        <w:t>might be possible to re-use also for the Rel-17 features</w:t>
      </w:r>
      <w:r w:rsidR="0067694E">
        <w:t>.</w:t>
      </w:r>
      <w:bookmarkEnd w:id="8"/>
    </w:p>
    <w:p w14:paraId="24B87142" w14:textId="3240C76F" w:rsidR="00C01F33" w:rsidRPr="00CE0424" w:rsidRDefault="001B399C" w:rsidP="00CE0424">
      <w:pPr>
        <w:pStyle w:val="Heading1"/>
      </w:pPr>
      <w:r>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923A1F" w14:textId="77777777" w:rsidR="006A70F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1571851" w:history="1">
        <w:r w:rsidR="006A70F7" w:rsidRPr="00CF63D0">
          <w:rPr>
            <w:rStyle w:val="Hyperlink"/>
            <w:noProof/>
          </w:rPr>
          <w:t>Observation 1</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RACH partitioning should generally be avoided, to reduce radio resource overhead/processing and to reduce specification complexity.</w:t>
        </w:r>
      </w:hyperlink>
    </w:p>
    <w:p w14:paraId="5DCC7680"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2" w:history="1">
        <w:r w:rsidR="006A70F7" w:rsidRPr="00CF63D0">
          <w:rPr>
            <w:rStyle w:val="Hyperlink"/>
            <w:noProof/>
          </w:rPr>
          <w:t>Observation 2</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RACH partitioning is already used today for determining the SSB/beam and for differentiating between 2-step and 4-step RA and between group A and B.</w:t>
        </w:r>
      </w:hyperlink>
    </w:p>
    <w:p w14:paraId="07EAF208"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3" w:history="1">
        <w:r w:rsidR="006A70F7" w:rsidRPr="00CF63D0">
          <w:rPr>
            <w:rStyle w:val="Hyperlink"/>
            <w:noProof/>
          </w:rPr>
          <w:t>Observation 3</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In general, the number of RACH partitions grows exponentially with the number of features.</w:t>
        </w:r>
      </w:hyperlink>
    </w:p>
    <w:p w14:paraId="5B53D51A"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4" w:history="1">
        <w:r w:rsidR="006A70F7" w:rsidRPr="00CF63D0">
          <w:rPr>
            <w:rStyle w:val="Hyperlink"/>
            <w:noProof/>
          </w:rPr>
          <w:t>Observation 4</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Some feature combinations can be excluded due to feature incompatibility.</w:t>
        </w:r>
      </w:hyperlink>
    </w:p>
    <w:p w14:paraId="3A232920"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5" w:history="1">
        <w:r w:rsidR="006A70F7" w:rsidRPr="00CF63D0">
          <w:rPr>
            <w:rStyle w:val="Hyperlink"/>
            <w:noProof/>
          </w:rPr>
          <w:t>Observation 5</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In real deployment it is expected that only a subset of the features and feature combinations will be enabled.</w:t>
        </w:r>
      </w:hyperlink>
    </w:p>
    <w:p w14:paraId="71ED92EE"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6" w:history="1">
        <w:r w:rsidR="006A70F7" w:rsidRPr="00CF63D0">
          <w:rPr>
            <w:rStyle w:val="Hyperlink"/>
            <w:noProof/>
          </w:rPr>
          <w:t>Observation 6</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Only considering binary (on/off) features will reduce the number of RACH partitions.</w:t>
        </w:r>
      </w:hyperlink>
    </w:p>
    <w:p w14:paraId="422A9A4A" w14:textId="77777777" w:rsidR="006A70F7" w:rsidRDefault="005878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1571857" w:history="1">
        <w:r w:rsidR="006A70F7" w:rsidRPr="00CF63D0">
          <w:rPr>
            <w:rStyle w:val="Hyperlink"/>
            <w:noProof/>
          </w:rPr>
          <w:t>Observation 7</w:t>
        </w:r>
        <w:r w:rsidR="006A70F7">
          <w:rPr>
            <w:rFonts w:asciiTheme="minorHAnsi" w:eastAsiaTheme="minorEastAsia" w:hAnsiTheme="minorHAnsi" w:cstheme="minorBidi"/>
            <w:b w:val="0"/>
            <w:noProof/>
            <w:sz w:val="22"/>
            <w:szCs w:val="22"/>
            <w:lang w:val="en-US" w:eastAsia="en-US"/>
          </w:rPr>
          <w:tab/>
        </w:r>
        <w:r w:rsidR="006A70F7" w:rsidRPr="00CF63D0">
          <w:rPr>
            <w:rStyle w:val="Hyperlink"/>
            <w:noProof/>
          </w:rPr>
          <w:t>The same type of RACH partitioning used for Rel-16 2-step RA (defined in RACH-ConfigCommonTwoStepRA) might be possible to re-use also for the Rel-17 features.</w:t>
        </w:r>
      </w:hyperlink>
    </w:p>
    <w:p w14:paraId="556A3D54" w14:textId="776DDD06"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2200CF" w14:textId="6085B47A" w:rsidR="002361CD" w:rsidRDefault="002361CD" w:rsidP="006E1C82">
      <w:pPr>
        <w:pStyle w:val="BodyText"/>
      </w:pPr>
    </w:p>
    <w:p w14:paraId="39A168F5" w14:textId="50C8CE9B" w:rsidR="00020EAB" w:rsidRDefault="00843240" w:rsidP="005F797A">
      <w:pPr>
        <w:pStyle w:val="Proposal"/>
      </w:pPr>
      <w:r>
        <w:t>E</w:t>
      </w:r>
      <w:r w:rsidR="00020EAB">
        <w:t xml:space="preserve">ach WI should consider </w:t>
      </w:r>
      <w:r w:rsidR="0067694E">
        <w:t>whether</w:t>
      </w:r>
      <w:r w:rsidR="00020EAB">
        <w:t xml:space="preserve"> RACH indication is really needed for their feature</w:t>
      </w:r>
      <w:r w:rsidR="0067694E">
        <w:t>,</w:t>
      </w:r>
      <w:r>
        <w:t xml:space="preserve"> to </w:t>
      </w:r>
      <w:r w:rsidR="0067694E">
        <w:t>minimize</w:t>
      </w:r>
      <w:r>
        <w:t xml:space="preserve"> the </w:t>
      </w:r>
      <w:r w:rsidR="0067694E">
        <w:t xml:space="preserve">overall required </w:t>
      </w:r>
      <w:r>
        <w:t>amount of RACH partitioning</w:t>
      </w:r>
      <w:r w:rsidR="0067694E">
        <w:t>.</w:t>
      </w:r>
    </w:p>
    <w:p w14:paraId="030546F1" w14:textId="42AAFBC2" w:rsidR="005F797A" w:rsidRDefault="005F797A" w:rsidP="005F797A">
      <w:pPr>
        <w:pStyle w:val="Proposal"/>
      </w:pPr>
      <w:r>
        <w:t>RAN2 should attempt to design a common RACH partitioning solution for the Rel-17 features</w:t>
      </w:r>
      <w:r w:rsidR="0067694E">
        <w:t>.</w:t>
      </w:r>
    </w:p>
    <w:p w14:paraId="6BBE9245" w14:textId="0EDAD1E5" w:rsidR="002361CD" w:rsidRDefault="002361CD" w:rsidP="002361CD">
      <w:pPr>
        <w:pStyle w:val="Proposal"/>
      </w:pPr>
      <w:r>
        <w:t xml:space="preserve">RAN2 </w:t>
      </w:r>
      <w:r w:rsidR="0067694E">
        <w:t>should</w:t>
      </w:r>
      <w:r>
        <w:t xml:space="preserve"> discuss which feature combinations that are allowed (</w:t>
      </w:r>
      <w:r w:rsidR="0067694E">
        <w:t xml:space="preserve">where </w:t>
      </w:r>
      <w:r w:rsidR="0050544C">
        <w:fldChar w:fldCharType="begin"/>
      </w:r>
      <w:r w:rsidR="0050544C">
        <w:instrText xml:space="preserve"> REF _Ref70945928 \h </w:instrText>
      </w:r>
      <w:r w:rsidR="0050544C">
        <w:fldChar w:fldCharType="separate"/>
      </w:r>
      <w:r w:rsidR="0050544C">
        <w:t xml:space="preserve">Table </w:t>
      </w:r>
      <w:r w:rsidR="0050544C">
        <w:rPr>
          <w:noProof/>
        </w:rPr>
        <w:t>1</w:t>
      </w:r>
      <w:r w:rsidR="0050544C">
        <w:fldChar w:fldCharType="end"/>
      </w:r>
      <w:r w:rsidR="009950B1">
        <w:t xml:space="preserve"> in this document can be used as starting point for such discussion</w:t>
      </w:r>
      <w:r>
        <w:t>)</w:t>
      </w:r>
      <w:r w:rsidR="0067694E">
        <w:t>.</w:t>
      </w:r>
    </w:p>
    <w:p w14:paraId="20EBE2A7" w14:textId="7BB2F782" w:rsidR="009353FB" w:rsidRDefault="009353FB" w:rsidP="002361CD">
      <w:pPr>
        <w:pStyle w:val="Proposal"/>
      </w:pPr>
      <w:r>
        <w:t>Only allow binary (on/off) feature indications on RACH</w:t>
      </w:r>
      <w:r w:rsidR="0067694E">
        <w:t>.</w:t>
      </w:r>
    </w:p>
    <w:p w14:paraId="263C529E" w14:textId="1BCE34B5" w:rsidR="009353FB" w:rsidRPr="00A04F49" w:rsidRDefault="009353FB" w:rsidP="002361CD">
      <w:pPr>
        <w:pStyle w:val="Proposal"/>
      </w:pPr>
      <w:r>
        <w:t xml:space="preserve">RAN2 </w:t>
      </w:r>
      <w:r w:rsidR="0067694E">
        <w:t>should</w:t>
      </w:r>
      <w:r>
        <w:t xml:space="preserve"> consider re-using the RACH partitioning solution used for Rel-16 2-step RA for the Rel-17 features</w:t>
      </w:r>
      <w:r w:rsidR="0067694E">
        <w:t>.</w:t>
      </w:r>
    </w:p>
    <w:p w14:paraId="57DE93BB" w14:textId="77777777" w:rsidR="00C01F33" w:rsidRPr="00CE0424" w:rsidRDefault="00C01F33" w:rsidP="006E062C"/>
    <w:p w14:paraId="10D64979" w14:textId="77777777" w:rsidR="00F507D1" w:rsidRPr="00CE0424" w:rsidRDefault="00F507D1" w:rsidP="00CE0424">
      <w:pPr>
        <w:pStyle w:val="Heading1"/>
      </w:pPr>
      <w:bookmarkStart w:id="9" w:name="_In-sequence_SDU_delivery"/>
      <w:bookmarkEnd w:id="9"/>
      <w:r w:rsidRPr="00CE0424">
        <w:t>References</w:t>
      </w:r>
    </w:p>
    <w:bookmarkStart w:id="10" w:name="_Ref70945771"/>
    <w:bookmarkStart w:id="11" w:name="_Ref174151459"/>
    <w:bookmarkStart w:id="12" w:name="_Ref189809556"/>
    <w:p w14:paraId="07CD66F3" w14:textId="7692E9FE"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10"/>
    </w:p>
    <w:bookmarkStart w:id="13" w:name="_Ref70945783"/>
    <w:p w14:paraId="6DF33065" w14:textId="139360B5" w:rsidR="005F3025" w:rsidRDefault="001935C7" w:rsidP="00311702">
      <w:pPr>
        <w:pStyle w:val="Reference"/>
      </w:pPr>
      <w:r>
        <w:fldChar w:fldCharType="begin"/>
      </w:r>
      <w:r>
        <w:instrText xml:space="preserve"> HYPERLINK "https://www.3gpp.org/ftp/tsg_ran/TSG_RAN/TSGR_91e/Docs/RP-210870.zip" </w:instrText>
      </w:r>
      <w:r>
        <w:fldChar w:fldCharType="separate"/>
      </w:r>
      <w:r w:rsidR="008274AD" w:rsidRPr="001935C7">
        <w:rPr>
          <w:rStyle w:val="Hyperlink"/>
        </w:rPr>
        <w:t>RP-210870</w:t>
      </w:r>
      <w:r>
        <w:fldChar w:fldCharType="end"/>
      </w:r>
      <w:r w:rsidR="008274AD">
        <w:t xml:space="preserve">, </w:t>
      </w:r>
      <w:r w:rsidR="0067694E">
        <w:t>“</w:t>
      </w:r>
      <w:r w:rsidR="008274AD">
        <w:t>WI on</w:t>
      </w:r>
      <w:r w:rsidR="008274AD" w:rsidRPr="008274AD">
        <w:t xml:space="preserve"> small</w:t>
      </w:r>
      <w:r w:rsidR="008274AD">
        <w:t xml:space="preserve"> </w:t>
      </w:r>
      <w:r w:rsidR="008274AD" w:rsidRPr="008274AD">
        <w:t>data transmissions in INACTIVE state</w:t>
      </w:r>
      <w:r w:rsidR="0067694E">
        <w:t>”</w:t>
      </w:r>
      <w:r w:rsidR="00BD1C7F">
        <w:t>,</w:t>
      </w:r>
      <w:r w:rsidR="00BD1C7F" w:rsidRPr="00BD1C7F">
        <w:t xml:space="preserve"> </w:t>
      </w:r>
      <w:r w:rsidR="00BD1C7F">
        <w:t>RAN#91-e</w:t>
      </w:r>
      <w:bookmarkEnd w:id="13"/>
    </w:p>
    <w:bookmarkStart w:id="14" w:name="_Ref70945792"/>
    <w:p w14:paraId="5B154434" w14:textId="5464165D" w:rsidR="00BD1C7F" w:rsidRDefault="001935C7" w:rsidP="00311702">
      <w:pPr>
        <w:pStyle w:val="Reference"/>
      </w:pPr>
      <w:r>
        <w:fldChar w:fldCharType="begin"/>
      </w:r>
      <w:r>
        <w:instrText xml:space="preserve"> HYPERLINK "https://www.3gpp.org/ftp/tsg_ran/TSG_RAN/TSGR_91e/Docs/RP-210855.zip" </w:instrText>
      </w:r>
      <w:r>
        <w:fldChar w:fldCharType="separate"/>
      </w:r>
      <w:r w:rsidR="00BD1C7F" w:rsidRPr="001935C7">
        <w:rPr>
          <w:rStyle w:val="Hyperlink"/>
        </w:rPr>
        <w:t>RP-210855</w:t>
      </w:r>
      <w:r>
        <w:fldChar w:fldCharType="end"/>
      </w:r>
      <w:r w:rsidR="00BD1C7F">
        <w:t xml:space="preserve">, </w:t>
      </w:r>
      <w:r w:rsidR="0067694E">
        <w:t>“</w:t>
      </w:r>
      <w:r w:rsidR="00BD1C7F" w:rsidRPr="00BD1C7F">
        <w:t>Revised WID on NR coverage enhancements</w:t>
      </w:r>
      <w:r w:rsidR="0067694E">
        <w:t>”</w:t>
      </w:r>
      <w:r w:rsidR="00BD1C7F">
        <w:t>, RAN#91-e</w:t>
      </w:r>
      <w:bookmarkEnd w:id="14"/>
    </w:p>
    <w:bookmarkStart w:id="15" w:name="_Ref70945801"/>
    <w:p w14:paraId="259494C5" w14:textId="31C57213" w:rsidR="003A7EF3" w:rsidRPr="00CE0424" w:rsidRDefault="001935C7" w:rsidP="00CE0424">
      <w:pPr>
        <w:pStyle w:val="Reference"/>
      </w:pPr>
      <w:r>
        <w:fldChar w:fldCharType="begin"/>
      </w:r>
      <w:r>
        <w:instrText xml:space="preserve"> HYPERLINK "https://www.3gpp.org/ftp/tsg_ran/TSG_RAN/TSGR_91e/Docs/RP-210912.zip" </w:instrText>
      </w:r>
      <w:r>
        <w:fldChar w:fldCharType="separate"/>
      </w:r>
      <w:r w:rsidR="00BD1C7F" w:rsidRPr="001935C7">
        <w:rPr>
          <w:rStyle w:val="Hyperlink"/>
        </w:rPr>
        <w:t>RP-210912</w:t>
      </w:r>
      <w:bookmarkEnd w:id="11"/>
      <w:bookmarkEnd w:id="12"/>
      <w:r>
        <w:fldChar w:fldCharType="end"/>
      </w:r>
      <w:r w:rsidR="00BD1C7F">
        <w:t xml:space="preserve">, </w:t>
      </w:r>
      <w:r w:rsidR="0067694E">
        <w:t>“</w:t>
      </w:r>
      <w:r w:rsidR="00BD1C7F" w:rsidRPr="00BD1C7F">
        <w:t>New WID on enhancement of RAN Slicing for NR</w:t>
      </w:r>
      <w:r w:rsidR="0067694E">
        <w:t>”</w:t>
      </w:r>
      <w:r w:rsidR="00BD1C7F">
        <w:t>, RAN#91-e</w:t>
      </w:r>
      <w:bookmarkEnd w:id="15"/>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60CE6" w14:textId="77777777" w:rsidR="0058789E" w:rsidRDefault="0058789E">
      <w:r>
        <w:separator/>
      </w:r>
    </w:p>
  </w:endnote>
  <w:endnote w:type="continuationSeparator" w:id="0">
    <w:p w14:paraId="775E1E3B" w14:textId="77777777" w:rsidR="0058789E" w:rsidRDefault="0058789E">
      <w:r>
        <w:continuationSeparator/>
      </w:r>
    </w:p>
  </w:endnote>
  <w:endnote w:type="continuationNotice" w:id="1">
    <w:p w14:paraId="43B42E72" w14:textId="77777777" w:rsidR="0058789E" w:rsidRDefault="00587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685370" w:rsidRDefault="006853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88EB5" w14:textId="77777777" w:rsidR="0058789E" w:rsidRDefault="0058789E">
      <w:r>
        <w:separator/>
      </w:r>
    </w:p>
  </w:footnote>
  <w:footnote w:type="continuationSeparator" w:id="0">
    <w:p w14:paraId="22399111" w14:textId="77777777" w:rsidR="0058789E" w:rsidRDefault="0058789E">
      <w:r>
        <w:continuationSeparator/>
      </w:r>
    </w:p>
  </w:footnote>
  <w:footnote w:type="continuationNotice" w:id="1">
    <w:p w14:paraId="42ED5876" w14:textId="77777777" w:rsidR="0058789E" w:rsidRDefault="00587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685370" w:rsidRDefault="006853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78286A"/>
    <w:multiLevelType w:val="hybridMultilevel"/>
    <w:tmpl w:val="40CC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97A9E"/>
    <w:multiLevelType w:val="hybridMultilevel"/>
    <w:tmpl w:val="BDBA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20388"/>
    <w:multiLevelType w:val="hybridMultilevel"/>
    <w:tmpl w:val="50565C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B11EAF"/>
    <w:multiLevelType w:val="hybridMultilevel"/>
    <w:tmpl w:val="889C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2E713A"/>
    <w:multiLevelType w:val="hybridMultilevel"/>
    <w:tmpl w:val="228E01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DA3226"/>
    <w:multiLevelType w:val="hybridMultilevel"/>
    <w:tmpl w:val="1CA6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10"/>
  </w:num>
  <w:num w:numId="19">
    <w:abstractNumId w:val="5"/>
  </w:num>
  <w:num w:numId="20">
    <w:abstractNumId w:val="27"/>
  </w:num>
  <w:num w:numId="21">
    <w:abstractNumId w:val="15"/>
  </w:num>
  <w:num w:numId="22">
    <w:abstractNumId w:val="25"/>
  </w:num>
  <w:num w:numId="23">
    <w:abstractNumId w:val="26"/>
  </w:num>
  <w:num w:numId="24">
    <w:abstractNumId w:val="6"/>
  </w:num>
  <w:num w:numId="25">
    <w:abstractNumId w:val="4"/>
  </w:num>
  <w:num w:numId="26">
    <w:abstractNumId w:val="7"/>
  </w:num>
  <w:num w:numId="27">
    <w:abstractNumId w:val="9"/>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2A37"/>
    <w:rsid w:val="0000564C"/>
    <w:rsid w:val="00006446"/>
    <w:rsid w:val="00006896"/>
    <w:rsid w:val="00007CDC"/>
    <w:rsid w:val="00010691"/>
    <w:rsid w:val="00011B28"/>
    <w:rsid w:val="00013B80"/>
    <w:rsid w:val="000141C3"/>
    <w:rsid w:val="00015806"/>
    <w:rsid w:val="00015D15"/>
    <w:rsid w:val="00020EAB"/>
    <w:rsid w:val="00020EEE"/>
    <w:rsid w:val="0002564D"/>
    <w:rsid w:val="00025ECA"/>
    <w:rsid w:val="00026D1B"/>
    <w:rsid w:val="000324DB"/>
    <w:rsid w:val="000325B8"/>
    <w:rsid w:val="00032CF5"/>
    <w:rsid w:val="00034C15"/>
    <w:rsid w:val="00036BA1"/>
    <w:rsid w:val="000422E2"/>
    <w:rsid w:val="00042F22"/>
    <w:rsid w:val="000444EF"/>
    <w:rsid w:val="00052A07"/>
    <w:rsid w:val="000534E3"/>
    <w:rsid w:val="0005606A"/>
    <w:rsid w:val="00057117"/>
    <w:rsid w:val="000616E7"/>
    <w:rsid w:val="0006487E"/>
    <w:rsid w:val="00065E1A"/>
    <w:rsid w:val="00065EA1"/>
    <w:rsid w:val="000753D1"/>
    <w:rsid w:val="00077E5F"/>
    <w:rsid w:val="0008036A"/>
    <w:rsid w:val="00081AE6"/>
    <w:rsid w:val="00081C64"/>
    <w:rsid w:val="000855EB"/>
    <w:rsid w:val="00085B52"/>
    <w:rsid w:val="000866F2"/>
    <w:rsid w:val="0009009F"/>
    <w:rsid w:val="00091557"/>
    <w:rsid w:val="000924C1"/>
    <w:rsid w:val="000924F0"/>
    <w:rsid w:val="00092CA7"/>
    <w:rsid w:val="00093289"/>
    <w:rsid w:val="00093474"/>
    <w:rsid w:val="0009510F"/>
    <w:rsid w:val="000A1B7B"/>
    <w:rsid w:val="000A56F2"/>
    <w:rsid w:val="000B2719"/>
    <w:rsid w:val="000B30F0"/>
    <w:rsid w:val="000B3A8F"/>
    <w:rsid w:val="000B4AB9"/>
    <w:rsid w:val="000B58C3"/>
    <w:rsid w:val="000B61E9"/>
    <w:rsid w:val="000C165A"/>
    <w:rsid w:val="000C2883"/>
    <w:rsid w:val="000C2E19"/>
    <w:rsid w:val="000C5F43"/>
    <w:rsid w:val="000D0D07"/>
    <w:rsid w:val="000D10E2"/>
    <w:rsid w:val="000D4797"/>
    <w:rsid w:val="000D70EB"/>
    <w:rsid w:val="000E0527"/>
    <w:rsid w:val="000E1E92"/>
    <w:rsid w:val="000E7864"/>
    <w:rsid w:val="000F06D6"/>
    <w:rsid w:val="000F0EB1"/>
    <w:rsid w:val="000F1106"/>
    <w:rsid w:val="000F3BE9"/>
    <w:rsid w:val="000F3F6C"/>
    <w:rsid w:val="000F503C"/>
    <w:rsid w:val="000F51BA"/>
    <w:rsid w:val="000F6DF3"/>
    <w:rsid w:val="001005FF"/>
    <w:rsid w:val="00105D76"/>
    <w:rsid w:val="0010620F"/>
    <w:rsid w:val="001062FB"/>
    <w:rsid w:val="001063E6"/>
    <w:rsid w:val="001110BF"/>
    <w:rsid w:val="00113CF4"/>
    <w:rsid w:val="001153EA"/>
    <w:rsid w:val="00115643"/>
    <w:rsid w:val="00116765"/>
    <w:rsid w:val="001219F5"/>
    <w:rsid w:val="00121A20"/>
    <w:rsid w:val="00122287"/>
    <w:rsid w:val="0012377F"/>
    <w:rsid w:val="00124314"/>
    <w:rsid w:val="00126B4A"/>
    <w:rsid w:val="00132FD0"/>
    <w:rsid w:val="001344C0"/>
    <w:rsid w:val="001346FA"/>
    <w:rsid w:val="00135252"/>
    <w:rsid w:val="00137AB5"/>
    <w:rsid w:val="00137D88"/>
    <w:rsid w:val="00137F0B"/>
    <w:rsid w:val="00142160"/>
    <w:rsid w:val="00150C70"/>
    <w:rsid w:val="00151E23"/>
    <w:rsid w:val="001526E0"/>
    <w:rsid w:val="0015364D"/>
    <w:rsid w:val="001551B5"/>
    <w:rsid w:val="001659C1"/>
    <w:rsid w:val="001705D3"/>
    <w:rsid w:val="00173A8E"/>
    <w:rsid w:val="0017502C"/>
    <w:rsid w:val="0018143F"/>
    <w:rsid w:val="00181FF8"/>
    <w:rsid w:val="00186DAE"/>
    <w:rsid w:val="00190AC1"/>
    <w:rsid w:val="0019341A"/>
    <w:rsid w:val="001935C7"/>
    <w:rsid w:val="00197DF9"/>
    <w:rsid w:val="001A1987"/>
    <w:rsid w:val="001A2564"/>
    <w:rsid w:val="001A6173"/>
    <w:rsid w:val="001A6CBA"/>
    <w:rsid w:val="001B0D97"/>
    <w:rsid w:val="001B399C"/>
    <w:rsid w:val="001B5A5D"/>
    <w:rsid w:val="001C1CE5"/>
    <w:rsid w:val="001C3D2A"/>
    <w:rsid w:val="001D51BA"/>
    <w:rsid w:val="001D53E7"/>
    <w:rsid w:val="001D6342"/>
    <w:rsid w:val="001D6D53"/>
    <w:rsid w:val="001E58E2"/>
    <w:rsid w:val="001E5DDD"/>
    <w:rsid w:val="001E7AED"/>
    <w:rsid w:val="001F032E"/>
    <w:rsid w:val="001F3916"/>
    <w:rsid w:val="001F436E"/>
    <w:rsid w:val="001F54C5"/>
    <w:rsid w:val="001F662C"/>
    <w:rsid w:val="001F7074"/>
    <w:rsid w:val="00200490"/>
    <w:rsid w:val="00201729"/>
    <w:rsid w:val="00201F3A"/>
    <w:rsid w:val="002031F8"/>
    <w:rsid w:val="00203F96"/>
    <w:rsid w:val="002069B2"/>
    <w:rsid w:val="00207046"/>
    <w:rsid w:val="00207FA3"/>
    <w:rsid w:val="00214DA8"/>
    <w:rsid w:val="00215423"/>
    <w:rsid w:val="002158FA"/>
    <w:rsid w:val="00220600"/>
    <w:rsid w:val="00220E34"/>
    <w:rsid w:val="002224DB"/>
    <w:rsid w:val="00223FCB"/>
    <w:rsid w:val="002252C3"/>
    <w:rsid w:val="00225C54"/>
    <w:rsid w:val="002268E5"/>
    <w:rsid w:val="002270E9"/>
    <w:rsid w:val="00230765"/>
    <w:rsid w:val="00230D18"/>
    <w:rsid w:val="002319E4"/>
    <w:rsid w:val="0023222E"/>
    <w:rsid w:val="00235632"/>
    <w:rsid w:val="00235872"/>
    <w:rsid w:val="002361CD"/>
    <w:rsid w:val="00241559"/>
    <w:rsid w:val="00242F59"/>
    <w:rsid w:val="002435B3"/>
    <w:rsid w:val="002458EB"/>
    <w:rsid w:val="00245E28"/>
    <w:rsid w:val="002500C8"/>
    <w:rsid w:val="00253C2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EEA"/>
    <w:rsid w:val="0028280A"/>
    <w:rsid w:val="00283C3D"/>
    <w:rsid w:val="00286ACD"/>
    <w:rsid w:val="00287838"/>
    <w:rsid w:val="002907B5"/>
    <w:rsid w:val="00292EB7"/>
    <w:rsid w:val="00296227"/>
    <w:rsid w:val="00296F44"/>
    <w:rsid w:val="0029777D"/>
    <w:rsid w:val="002A055E"/>
    <w:rsid w:val="002A1D4E"/>
    <w:rsid w:val="002A25A4"/>
    <w:rsid w:val="002A2869"/>
    <w:rsid w:val="002A43EF"/>
    <w:rsid w:val="002A5334"/>
    <w:rsid w:val="002B24D6"/>
    <w:rsid w:val="002B6E1C"/>
    <w:rsid w:val="002C41E6"/>
    <w:rsid w:val="002C4501"/>
    <w:rsid w:val="002C5020"/>
    <w:rsid w:val="002D071A"/>
    <w:rsid w:val="002D34B2"/>
    <w:rsid w:val="002D48B0"/>
    <w:rsid w:val="002D5B37"/>
    <w:rsid w:val="002D6D9C"/>
    <w:rsid w:val="002D7637"/>
    <w:rsid w:val="002E17F2"/>
    <w:rsid w:val="002E7CAE"/>
    <w:rsid w:val="002F2771"/>
    <w:rsid w:val="002F2FEE"/>
    <w:rsid w:val="002F37A9"/>
    <w:rsid w:val="002F49FB"/>
    <w:rsid w:val="002F7313"/>
    <w:rsid w:val="00301CE6"/>
    <w:rsid w:val="0030256B"/>
    <w:rsid w:val="00304C8D"/>
    <w:rsid w:val="0030501F"/>
    <w:rsid w:val="00307BA1"/>
    <w:rsid w:val="00311702"/>
    <w:rsid w:val="00311E82"/>
    <w:rsid w:val="00312A8E"/>
    <w:rsid w:val="00313FD6"/>
    <w:rsid w:val="003143BD"/>
    <w:rsid w:val="00315363"/>
    <w:rsid w:val="0031630D"/>
    <w:rsid w:val="003173F4"/>
    <w:rsid w:val="003203ED"/>
    <w:rsid w:val="00322C9F"/>
    <w:rsid w:val="00324D23"/>
    <w:rsid w:val="00331751"/>
    <w:rsid w:val="00334579"/>
    <w:rsid w:val="00335858"/>
    <w:rsid w:val="00336BDA"/>
    <w:rsid w:val="00342271"/>
    <w:rsid w:val="00342BD7"/>
    <w:rsid w:val="00346DB5"/>
    <w:rsid w:val="003477B1"/>
    <w:rsid w:val="0035075C"/>
    <w:rsid w:val="00351CC7"/>
    <w:rsid w:val="00355621"/>
    <w:rsid w:val="00355DD2"/>
    <w:rsid w:val="00357380"/>
    <w:rsid w:val="003602D9"/>
    <w:rsid w:val="003604CE"/>
    <w:rsid w:val="003660EF"/>
    <w:rsid w:val="00370E47"/>
    <w:rsid w:val="00373ECD"/>
    <w:rsid w:val="003742AC"/>
    <w:rsid w:val="00377CE1"/>
    <w:rsid w:val="00380F17"/>
    <w:rsid w:val="00382699"/>
    <w:rsid w:val="00384233"/>
    <w:rsid w:val="00385BF0"/>
    <w:rsid w:val="003939FF"/>
    <w:rsid w:val="00397113"/>
    <w:rsid w:val="003A05E5"/>
    <w:rsid w:val="003A2223"/>
    <w:rsid w:val="003A2A0F"/>
    <w:rsid w:val="003A39A2"/>
    <w:rsid w:val="003A4070"/>
    <w:rsid w:val="003A45A1"/>
    <w:rsid w:val="003A5B0A"/>
    <w:rsid w:val="003A6BAC"/>
    <w:rsid w:val="003A70A4"/>
    <w:rsid w:val="003A7EF3"/>
    <w:rsid w:val="003B159C"/>
    <w:rsid w:val="003B369F"/>
    <w:rsid w:val="003B36A3"/>
    <w:rsid w:val="003B4B84"/>
    <w:rsid w:val="003B64BB"/>
    <w:rsid w:val="003B7FE5"/>
    <w:rsid w:val="003C11C8"/>
    <w:rsid w:val="003C2702"/>
    <w:rsid w:val="003C4B46"/>
    <w:rsid w:val="003C6583"/>
    <w:rsid w:val="003C7806"/>
    <w:rsid w:val="003D109F"/>
    <w:rsid w:val="003D2478"/>
    <w:rsid w:val="003D3C45"/>
    <w:rsid w:val="003D5388"/>
    <w:rsid w:val="003D5B1F"/>
    <w:rsid w:val="003D60AD"/>
    <w:rsid w:val="003D75DB"/>
    <w:rsid w:val="003E15FA"/>
    <w:rsid w:val="003E50E3"/>
    <w:rsid w:val="003E55E4"/>
    <w:rsid w:val="003E74E3"/>
    <w:rsid w:val="003F05C7"/>
    <w:rsid w:val="003F0E3F"/>
    <w:rsid w:val="003F2CD4"/>
    <w:rsid w:val="003F2F26"/>
    <w:rsid w:val="003F6BBE"/>
    <w:rsid w:val="003F7828"/>
    <w:rsid w:val="003F7B72"/>
    <w:rsid w:val="004000E8"/>
    <w:rsid w:val="00400F74"/>
    <w:rsid w:val="00402E2B"/>
    <w:rsid w:val="0040512B"/>
    <w:rsid w:val="00405CA5"/>
    <w:rsid w:val="00407CD3"/>
    <w:rsid w:val="00410134"/>
    <w:rsid w:val="00410B72"/>
    <w:rsid w:val="00410F18"/>
    <w:rsid w:val="0041263E"/>
    <w:rsid w:val="00413AAC"/>
    <w:rsid w:val="00413E92"/>
    <w:rsid w:val="00414511"/>
    <w:rsid w:val="00415865"/>
    <w:rsid w:val="00416B13"/>
    <w:rsid w:val="00421105"/>
    <w:rsid w:val="00422AA4"/>
    <w:rsid w:val="004242F4"/>
    <w:rsid w:val="0042437F"/>
    <w:rsid w:val="00427248"/>
    <w:rsid w:val="00432A42"/>
    <w:rsid w:val="00434CE9"/>
    <w:rsid w:val="00435257"/>
    <w:rsid w:val="00437447"/>
    <w:rsid w:val="00441A92"/>
    <w:rsid w:val="004431DC"/>
    <w:rsid w:val="004436E1"/>
    <w:rsid w:val="00444BB1"/>
    <w:rsid w:val="00444F56"/>
    <w:rsid w:val="00444FD0"/>
    <w:rsid w:val="00446488"/>
    <w:rsid w:val="004517AA"/>
    <w:rsid w:val="00452CAC"/>
    <w:rsid w:val="00457565"/>
    <w:rsid w:val="00457B71"/>
    <w:rsid w:val="004660A6"/>
    <w:rsid w:val="004669E2"/>
    <w:rsid w:val="00470C31"/>
    <w:rsid w:val="00471DE0"/>
    <w:rsid w:val="004734D0"/>
    <w:rsid w:val="00474A58"/>
    <w:rsid w:val="0047556B"/>
    <w:rsid w:val="00477768"/>
    <w:rsid w:val="004847B1"/>
    <w:rsid w:val="00486749"/>
    <w:rsid w:val="0048705F"/>
    <w:rsid w:val="00491CFF"/>
    <w:rsid w:val="00492BC5"/>
    <w:rsid w:val="004954E1"/>
    <w:rsid w:val="004964F1"/>
    <w:rsid w:val="004975DE"/>
    <w:rsid w:val="004A16BC"/>
    <w:rsid w:val="004A2B94"/>
    <w:rsid w:val="004B0C13"/>
    <w:rsid w:val="004B524E"/>
    <w:rsid w:val="004B6F6A"/>
    <w:rsid w:val="004B7C0C"/>
    <w:rsid w:val="004C14BA"/>
    <w:rsid w:val="004C353D"/>
    <w:rsid w:val="004C3898"/>
    <w:rsid w:val="004C4D4E"/>
    <w:rsid w:val="004D1C5A"/>
    <w:rsid w:val="004D2D23"/>
    <w:rsid w:val="004D36B1"/>
    <w:rsid w:val="004D37A3"/>
    <w:rsid w:val="004D6D55"/>
    <w:rsid w:val="004D7EBD"/>
    <w:rsid w:val="004E1548"/>
    <w:rsid w:val="004E2680"/>
    <w:rsid w:val="004E28F9"/>
    <w:rsid w:val="004E4358"/>
    <w:rsid w:val="004E462E"/>
    <w:rsid w:val="004E56DC"/>
    <w:rsid w:val="004E76F4"/>
    <w:rsid w:val="004E7D84"/>
    <w:rsid w:val="004F0B4E"/>
    <w:rsid w:val="004F0B6C"/>
    <w:rsid w:val="004F2078"/>
    <w:rsid w:val="004F4DA3"/>
    <w:rsid w:val="00503C6E"/>
    <w:rsid w:val="00504268"/>
    <w:rsid w:val="00504663"/>
    <w:rsid w:val="0050544C"/>
    <w:rsid w:val="00506557"/>
    <w:rsid w:val="0050677A"/>
    <w:rsid w:val="005108D8"/>
    <w:rsid w:val="005116F9"/>
    <w:rsid w:val="005153A7"/>
    <w:rsid w:val="005206F7"/>
    <w:rsid w:val="005219CF"/>
    <w:rsid w:val="00534B59"/>
    <w:rsid w:val="00536759"/>
    <w:rsid w:val="00536E6A"/>
    <w:rsid w:val="00537C62"/>
    <w:rsid w:val="00546970"/>
    <w:rsid w:val="005470F9"/>
    <w:rsid w:val="00551713"/>
    <w:rsid w:val="00554E19"/>
    <w:rsid w:val="0055612F"/>
    <w:rsid w:val="0056121F"/>
    <w:rsid w:val="005623E0"/>
    <w:rsid w:val="00570C13"/>
    <w:rsid w:val="00572505"/>
    <w:rsid w:val="005734EC"/>
    <w:rsid w:val="0057451E"/>
    <w:rsid w:val="005750F5"/>
    <w:rsid w:val="00582809"/>
    <w:rsid w:val="0058789E"/>
    <w:rsid w:val="0058798C"/>
    <w:rsid w:val="005900FA"/>
    <w:rsid w:val="005935A4"/>
    <w:rsid w:val="005948C2"/>
    <w:rsid w:val="00595DCA"/>
    <w:rsid w:val="0059779B"/>
    <w:rsid w:val="005A1EAA"/>
    <w:rsid w:val="005A209A"/>
    <w:rsid w:val="005A662D"/>
    <w:rsid w:val="005B1409"/>
    <w:rsid w:val="005B35D7"/>
    <w:rsid w:val="005B379F"/>
    <w:rsid w:val="005B392A"/>
    <w:rsid w:val="005B3AA3"/>
    <w:rsid w:val="005B6F83"/>
    <w:rsid w:val="005B79CB"/>
    <w:rsid w:val="005B7AC6"/>
    <w:rsid w:val="005C74FB"/>
    <w:rsid w:val="005C784D"/>
    <w:rsid w:val="005D1602"/>
    <w:rsid w:val="005D402C"/>
    <w:rsid w:val="005D6B8C"/>
    <w:rsid w:val="005E385F"/>
    <w:rsid w:val="005E5B81"/>
    <w:rsid w:val="005F1DC7"/>
    <w:rsid w:val="005F2CB1"/>
    <w:rsid w:val="005F3025"/>
    <w:rsid w:val="005F5BBA"/>
    <w:rsid w:val="005F618C"/>
    <w:rsid w:val="005F6D65"/>
    <w:rsid w:val="005F70BD"/>
    <w:rsid w:val="005F797A"/>
    <w:rsid w:val="0060283C"/>
    <w:rsid w:val="00603AFE"/>
    <w:rsid w:val="00604F14"/>
    <w:rsid w:val="0060563B"/>
    <w:rsid w:val="00611B83"/>
    <w:rsid w:val="00613257"/>
    <w:rsid w:val="00613F3C"/>
    <w:rsid w:val="00620A71"/>
    <w:rsid w:val="00620D80"/>
    <w:rsid w:val="006234A6"/>
    <w:rsid w:val="00625093"/>
    <w:rsid w:val="006255FD"/>
    <w:rsid w:val="00630001"/>
    <w:rsid w:val="0063048F"/>
    <w:rsid w:val="006311B3"/>
    <w:rsid w:val="0063193C"/>
    <w:rsid w:val="0063284C"/>
    <w:rsid w:val="0063452E"/>
    <w:rsid w:val="00636398"/>
    <w:rsid w:val="006368D3"/>
    <w:rsid w:val="006377EC"/>
    <w:rsid w:val="0064151F"/>
    <w:rsid w:val="00641533"/>
    <w:rsid w:val="0064208D"/>
    <w:rsid w:val="00643475"/>
    <w:rsid w:val="0064396A"/>
    <w:rsid w:val="00645160"/>
    <w:rsid w:val="0064624E"/>
    <w:rsid w:val="00646D32"/>
    <w:rsid w:val="00650AB9"/>
    <w:rsid w:val="006523E6"/>
    <w:rsid w:val="006535B7"/>
    <w:rsid w:val="00655733"/>
    <w:rsid w:val="00655ACD"/>
    <w:rsid w:val="00655B9E"/>
    <w:rsid w:val="00655E22"/>
    <w:rsid w:val="0065624C"/>
    <w:rsid w:val="00656A92"/>
    <w:rsid w:val="00656DDE"/>
    <w:rsid w:val="0066011D"/>
    <w:rsid w:val="006607C0"/>
    <w:rsid w:val="006613A6"/>
    <w:rsid w:val="006627A2"/>
    <w:rsid w:val="006634E6"/>
    <w:rsid w:val="006655EE"/>
    <w:rsid w:val="0066663A"/>
    <w:rsid w:val="00667EE7"/>
    <w:rsid w:val="00670922"/>
    <w:rsid w:val="00670BE1"/>
    <w:rsid w:val="0067218F"/>
    <w:rsid w:val="00673086"/>
    <w:rsid w:val="0067391A"/>
    <w:rsid w:val="00673AEA"/>
    <w:rsid w:val="006741F2"/>
    <w:rsid w:val="00674CC3"/>
    <w:rsid w:val="00675C72"/>
    <w:rsid w:val="0067694E"/>
    <w:rsid w:val="00677011"/>
    <w:rsid w:val="006771F9"/>
    <w:rsid w:val="006776D7"/>
    <w:rsid w:val="00681003"/>
    <w:rsid w:val="006817C9"/>
    <w:rsid w:val="00683ECE"/>
    <w:rsid w:val="00684136"/>
    <w:rsid w:val="00685370"/>
    <w:rsid w:val="00686109"/>
    <w:rsid w:val="0069171F"/>
    <w:rsid w:val="00695FC2"/>
    <w:rsid w:val="00696949"/>
    <w:rsid w:val="00697052"/>
    <w:rsid w:val="006A00E3"/>
    <w:rsid w:val="006A0DF7"/>
    <w:rsid w:val="006A1B19"/>
    <w:rsid w:val="006A46FB"/>
    <w:rsid w:val="006A4DF3"/>
    <w:rsid w:val="006A5E28"/>
    <w:rsid w:val="006A697B"/>
    <w:rsid w:val="006A70F7"/>
    <w:rsid w:val="006A7AFF"/>
    <w:rsid w:val="006B1816"/>
    <w:rsid w:val="006B2099"/>
    <w:rsid w:val="006B50CF"/>
    <w:rsid w:val="006C03B8"/>
    <w:rsid w:val="006C0D73"/>
    <w:rsid w:val="006C0FB0"/>
    <w:rsid w:val="006C5EC9"/>
    <w:rsid w:val="006C6059"/>
    <w:rsid w:val="006C7522"/>
    <w:rsid w:val="006D1768"/>
    <w:rsid w:val="006D6F08"/>
    <w:rsid w:val="006E062C"/>
    <w:rsid w:val="006E1133"/>
    <w:rsid w:val="006E1C82"/>
    <w:rsid w:val="006E28B7"/>
    <w:rsid w:val="006E2A9B"/>
    <w:rsid w:val="006E3310"/>
    <w:rsid w:val="006E4E39"/>
    <w:rsid w:val="006E4E53"/>
    <w:rsid w:val="006E5555"/>
    <w:rsid w:val="006E565E"/>
    <w:rsid w:val="006E673D"/>
    <w:rsid w:val="006E7D3B"/>
    <w:rsid w:val="006F1B70"/>
    <w:rsid w:val="006F341D"/>
    <w:rsid w:val="006F39E1"/>
    <w:rsid w:val="006F3CDE"/>
    <w:rsid w:val="006F4194"/>
    <w:rsid w:val="006F58D4"/>
    <w:rsid w:val="006F6582"/>
    <w:rsid w:val="0070346E"/>
    <w:rsid w:val="00704EDB"/>
    <w:rsid w:val="00705F57"/>
    <w:rsid w:val="00706101"/>
    <w:rsid w:val="00706265"/>
    <w:rsid w:val="00707072"/>
    <w:rsid w:val="00707D61"/>
    <w:rsid w:val="00712287"/>
    <w:rsid w:val="00712772"/>
    <w:rsid w:val="007148D3"/>
    <w:rsid w:val="007155B1"/>
    <w:rsid w:val="00715B9A"/>
    <w:rsid w:val="00715FE4"/>
    <w:rsid w:val="00720B6F"/>
    <w:rsid w:val="007257D0"/>
    <w:rsid w:val="00726EA6"/>
    <w:rsid w:val="00727208"/>
    <w:rsid w:val="00727680"/>
    <w:rsid w:val="0073001C"/>
    <w:rsid w:val="007348B1"/>
    <w:rsid w:val="007362A6"/>
    <w:rsid w:val="00736D7D"/>
    <w:rsid w:val="007400B0"/>
    <w:rsid w:val="00740E58"/>
    <w:rsid w:val="007445A0"/>
    <w:rsid w:val="0074524B"/>
    <w:rsid w:val="00747D8B"/>
    <w:rsid w:val="00747F95"/>
    <w:rsid w:val="007511A0"/>
    <w:rsid w:val="00751228"/>
    <w:rsid w:val="007525F8"/>
    <w:rsid w:val="00752EC1"/>
    <w:rsid w:val="00755289"/>
    <w:rsid w:val="007571E1"/>
    <w:rsid w:val="00757A16"/>
    <w:rsid w:val="007604B2"/>
    <w:rsid w:val="00765281"/>
    <w:rsid w:val="00766BAD"/>
    <w:rsid w:val="00767E82"/>
    <w:rsid w:val="007729A2"/>
    <w:rsid w:val="007755F2"/>
    <w:rsid w:val="00776971"/>
    <w:rsid w:val="00780A80"/>
    <w:rsid w:val="0078177E"/>
    <w:rsid w:val="0078304C"/>
    <w:rsid w:val="00783673"/>
    <w:rsid w:val="007845D2"/>
    <w:rsid w:val="00785285"/>
    <w:rsid w:val="00785490"/>
    <w:rsid w:val="00786385"/>
    <w:rsid w:val="00791415"/>
    <w:rsid w:val="007925EA"/>
    <w:rsid w:val="00793CD8"/>
    <w:rsid w:val="00795C92"/>
    <w:rsid w:val="00796231"/>
    <w:rsid w:val="007A1CB3"/>
    <w:rsid w:val="007A306F"/>
    <w:rsid w:val="007A43A6"/>
    <w:rsid w:val="007A58A6"/>
    <w:rsid w:val="007A68E3"/>
    <w:rsid w:val="007B3D2D"/>
    <w:rsid w:val="007B50AE"/>
    <w:rsid w:val="007B51DF"/>
    <w:rsid w:val="007B6993"/>
    <w:rsid w:val="007C05DD"/>
    <w:rsid w:val="007C3D18"/>
    <w:rsid w:val="007C44B5"/>
    <w:rsid w:val="007C5B42"/>
    <w:rsid w:val="007C60BF"/>
    <w:rsid w:val="007C6A07"/>
    <w:rsid w:val="007C6B0A"/>
    <w:rsid w:val="007C75A1"/>
    <w:rsid w:val="007C77A5"/>
    <w:rsid w:val="007D04E5"/>
    <w:rsid w:val="007D3FE5"/>
    <w:rsid w:val="007D5901"/>
    <w:rsid w:val="007D7526"/>
    <w:rsid w:val="007E1825"/>
    <w:rsid w:val="007E4610"/>
    <w:rsid w:val="007E4715"/>
    <w:rsid w:val="007E505B"/>
    <w:rsid w:val="007E7091"/>
    <w:rsid w:val="007F20CD"/>
    <w:rsid w:val="007F22F7"/>
    <w:rsid w:val="007F4082"/>
    <w:rsid w:val="007F61E1"/>
    <w:rsid w:val="00803328"/>
    <w:rsid w:val="00803FAE"/>
    <w:rsid w:val="0080605F"/>
    <w:rsid w:val="00807786"/>
    <w:rsid w:val="0081033A"/>
    <w:rsid w:val="00811FCB"/>
    <w:rsid w:val="00813E56"/>
    <w:rsid w:val="008158D6"/>
    <w:rsid w:val="00817196"/>
    <w:rsid w:val="008235DB"/>
    <w:rsid w:val="00824AB4"/>
    <w:rsid w:val="00825C42"/>
    <w:rsid w:val="00825D25"/>
    <w:rsid w:val="008274AD"/>
    <w:rsid w:val="00827D6F"/>
    <w:rsid w:val="00831C3C"/>
    <w:rsid w:val="00833A7C"/>
    <w:rsid w:val="008348DC"/>
    <w:rsid w:val="00834ED2"/>
    <w:rsid w:val="008376AC"/>
    <w:rsid w:val="00843240"/>
    <w:rsid w:val="008444E8"/>
    <w:rsid w:val="00844E80"/>
    <w:rsid w:val="008465FB"/>
    <w:rsid w:val="00846FE7"/>
    <w:rsid w:val="0085456C"/>
    <w:rsid w:val="00856911"/>
    <w:rsid w:val="00857132"/>
    <w:rsid w:val="00864B05"/>
    <w:rsid w:val="0086565E"/>
    <w:rsid w:val="0086639B"/>
    <w:rsid w:val="00866760"/>
    <w:rsid w:val="008677FD"/>
    <w:rsid w:val="008706D4"/>
    <w:rsid w:val="00870F8A"/>
    <w:rsid w:val="008719A4"/>
    <w:rsid w:val="00871D23"/>
    <w:rsid w:val="00874312"/>
    <w:rsid w:val="0087437C"/>
    <w:rsid w:val="00875CD7"/>
    <w:rsid w:val="00876B4D"/>
    <w:rsid w:val="00877F18"/>
    <w:rsid w:val="00885507"/>
    <w:rsid w:val="008941E3"/>
    <w:rsid w:val="00894A88"/>
    <w:rsid w:val="00895386"/>
    <w:rsid w:val="008976E8"/>
    <w:rsid w:val="008A001C"/>
    <w:rsid w:val="008A21FF"/>
    <w:rsid w:val="008A2CE2"/>
    <w:rsid w:val="008A30AC"/>
    <w:rsid w:val="008A44B8"/>
    <w:rsid w:val="008A51A8"/>
    <w:rsid w:val="008A54C7"/>
    <w:rsid w:val="008A74E4"/>
    <w:rsid w:val="008A77D8"/>
    <w:rsid w:val="008B0483"/>
    <w:rsid w:val="008B120C"/>
    <w:rsid w:val="008B51A0"/>
    <w:rsid w:val="008B592A"/>
    <w:rsid w:val="008B7B5C"/>
    <w:rsid w:val="008C0C99"/>
    <w:rsid w:val="008C2017"/>
    <w:rsid w:val="008C4958"/>
    <w:rsid w:val="008C4BAA"/>
    <w:rsid w:val="008C5B40"/>
    <w:rsid w:val="008C6AE8"/>
    <w:rsid w:val="008C7573"/>
    <w:rsid w:val="008D00A5"/>
    <w:rsid w:val="008D34F1"/>
    <w:rsid w:val="008D39D8"/>
    <w:rsid w:val="008D6D1A"/>
    <w:rsid w:val="008D7BD5"/>
    <w:rsid w:val="008E065E"/>
    <w:rsid w:val="008E0927"/>
    <w:rsid w:val="008E1909"/>
    <w:rsid w:val="008F1EAB"/>
    <w:rsid w:val="008F20D3"/>
    <w:rsid w:val="008F33DC"/>
    <w:rsid w:val="008F477F"/>
    <w:rsid w:val="00902350"/>
    <w:rsid w:val="0090336B"/>
    <w:rsid w:val="009053AA"/>
    <w:rsid w:val="00906939"/>
    <w:rsid w:val="00906A6A"/>
    <w:rsid w:val="00910B7D"/>
    <w:rsid w:val="00910F64"/>
    <w:rsid w:val="00911DFB"/>
    <w:rsid w:val="009139D9"/>
    <w:rsid w:val="00914AD8"/>
    <w:rsid w:val="00915DBB"/>
    <w:rsid w:val="00916079"/>
    <w:rsid w:val="00916F05"/>
    <w:rsid w:val="00917CE9"/>
    <w:rsid w:val="00920BF2"/>
    <w:rsid w:val="00922010"/>
    <w:rsid w:val="009306D0"/>
    <w:rsid w:val="00931BD9"/>
    <w:rsid w:val="00934EBB"/>
    <w:rsid w:val="009353FB"/>
    <w:rsid w:val="009368F3"/>
    <w:rsid w:val="00941636"/>
    <w:rsid w:val="00943742"/>
    <w:rsid w:val="00943CFA"/>
    <w:rsid w:val="00945C05"/>
    <w:rsid w:val="00946945"/>
    <w:rsid w:val="00947713"/>
    <w:rsid w:val="00950DE7"/>
    <w:rsid w:val="00953920"/>
    <w:rsid w:val="00953D47"/>
    <w:rsid w:val="00953EDE"/>
    <w:rsid w:val="0095501E"/>
    <w:rsid w:val="0095681E"/>
    <w:rsid w:val="009572D4"/>
    <w:rsid w:val="009574E7"/>
    <w:rsid w:val="00961921"/>
    <w:rsid w:val="009626A3"/>
    <w:rsid w:val="0096430A"/>
    <w:rsid w:val="0096554B"/>
    <w:rsid w:val="0096584A"/>
    <w:rsid w:val="00967A08"/>
    <w:rsid w:val="00971F08"/>
    <w:rsid w:val="0097603D"/>
    <w:rsid w:val="00976949"/>
    <w:rsid w:val="00980477"/>
    <w:rsid w:val="00983D21"/>
    <w:rsid w:val="00984C13"/>
    <w:rsid w:val="00985253"/>
    <w:rsid w:val="009853B3"/>
    <w:rsid w:val="00990630"/>
    <w:rsid w:val="00991761"/>
    <w:rsid w:val="00994DCA"/>
    <w:rsid w:val="009950B1"/>
    <w:rsid w:val="009960EC"/>
    <w:rsid w:val="0099630E"/>
    <w:rsid w:val="009970DD"/>
    <w:rsid w:val="00997E99"/>
    <w:rsid w:val="009A0FBA"/>
    <w:rsid w:val="009A1601"/>
    <w:rsid w:val="009A3BB6"/>
    <w:rsid w:val="009A462D"/>
    <w:rsid w:val="009A5CBA"/>
    <w:rsid w:val="009B1F30"/>
    <w:rsid w:val="009B3AC2"/>
    <w:rsid w:val="009B428B"/>
    <w:rsid w:val="009B4DF4"/>
    <w:rsid w:val="009B4EB5"/>
    <w:rsid w:val="009B564E"/>
    <w:rsid w:val="009B7E87"/>
    <w:rsid w:val="009C0169"/>
    <w:rsid w:val="009C403E"/>
    <w:rsid w:val="009D411F"/>
    <w:rsid w:val="009D4FF0"/>
    <w:rsid w:val="009D703C"/>
    <w:rsid w:val="009D718F"/>
    <w:rsid w:val="009E068F"/>
    <w:rsid w:val="009E14E0"/>
    <w:rsid w:val="009E16DB"/>
    <w:rsid w:val="009E35DB"/>
    <w:rsid w:val="009E47A3"/>
    <w:rsid w:val="009F08F3"/>
    <w:rsid w:val="009F344F"/>
    <w:rsid w:val="00A0230B"/>
    <w:rsid w:val="00A02A36"/>
    <w:rsid w:val="00A031D8"/>
    <w:rsid w:val="00A048A8"/>
    <w:rsid w:val="00A04F49"/>
    <w:rsid w:val="00A13341"/>
    <w:rsid w:val="00A13E54"/>
    <w:rsid w:val="00A1765A"/>
    <w:rsid w:val="00A17F63"/>
    <w:rsid w:val="00A2193B"/>
    <w:rsid w:val="00A2351A"/>
    <w:rsid w:val="00A25CBA"/>
    <w:rsid w:val="00A264A9"/>
    <w:rsid w:val="00A26DCF"/>
    <w:rsid w:val="00A27785"/>
    <w:rsid w:val="00A30187"/>
    <w:rsid w:val="00A32913"/>
    <w:rsid w:val="00A3448A"/>
    <w:rsid w:val="00A36297"/>
    <w:rsid w:val="00A40696"/>
    <w:rsid w:val="00A41E2B"/>
    <w:rsid w:val="00A42DF1"/>
    <w:rsid w:val="00A45B74"/>
    <w:rsid w:val="00A522F5"/>
    <w:rsid w:val="00A524A2"/>
    <w:rsid w:val="00A52E1D"/>
    <w:rsid w:val="00A55A4A"/>
    <w:rsid w:val="00A56A11"/>
    <w:rsid w:val="00A61499"/>
    <w:rsid w:val="00A62A77"/>
    <w:rsid w:val="00A63483"/>
    <w:rsid w:val="00A657D7"/>
    <w:rsid w:val="00A660AC"/>
    <w:rsid w:val="00A67E6C"/>
    <w:rsid w:val="00A71B99"/>
    <w:rsid w:val="00A739D0"/>
    <w:rsid w:val="00A761D4"/>
    <w:rsid w:val="00A77EC4"/>
    <w:rsid w:val="00A8118A"/>
    <w:rsid w:val="00A84ABE"/>
    <w:rsid w:val="00A92879"/>
    <w:rsid w:val="00A93B7A"/>
    <w:rsid w:val="00A9442A"/>
    <w:rsid w:val="00A97536"/>
    <w:rsid w:val="00AA016F"/>
    <w:rsid w:val="00AA1ED6"/>
    <w:rsid w:val="00AA1EF1"/>
    <w:rsid w:val="00AA4948"/>
    <w:rsid w:val="00AA51D6"/>
    <w:rsid w:val="00AA5FA4"/>
    <w:rsid w:val="00AA7BED"/>
    <w:rsid w:val="00AB0BC8"/>
    <w:rsid w:val="00AB11CA"/>
    <w:rsid w:val="00AB14D9"/>
    <w:rsid w:val="00AB4AB8"/>
    <w:rsid w:val="00AB655E"/>
    <w:rsid w:val="00AC007F"/>
    <w:rsid w:val="00AC2ECD"/>
    <w:rsid w:val="00AC3119"/>
    <w:rsid w:val="00AC49FB"/>
    <w:rsid w:val="00AC5A10"/>
    <w:rsid w:val="00AD0AA3"/>
    <w:rsid w:val="00AD3B89"/>
    <w:rsid w:val="00AD3F94"/>
    <w:rsid w:val="00AD4A5A"/>
    <w:rsid w:val="00AD6985"/>
    <w:rsid w:val="00AD6E67"/>
    <w:rsid w:val="00AE0B42"/>
    <w:rsid w:val="00AE27AC"/>
    <w:rsid w:val="00AE40E0"/>
    <w:rsid w:val="00AE4DBA"/>
    <w:rsid w:val="00AE4F07"/>
    <w:rsid w:val="00AF1C5D"/>
    <w:rsid w:val="00AF207F"/>
    <w:rsid w:val="00AF42D7"/>
    <w:rsid w:val="00B006FE"/>
    <w:rsid w:val="00B007CB"/>
    <w:rsid w:val="00B02AA9"/>
    <w:rsid w:val="00B02FA3"/>
    <w:rsid w:val="00B05084"/>
    <w:rsid w:val="00B157F9"/>
    <w:rsid w:val="00B20256"/>
    <w:rsid w:val="00B20D09"/>
    <w:rsid w:val="00B23C50"/>
    <w:rsid w:val="00B24169"/>
    <w:rsid w:val="00B2586D"/>
    <w:rsid w:val="00B2763F"/>
    <w:rsid w:val="00B27AAC"/>
    <w:rsid w:val="00B30929"/>
    <w:rsid w:val="00B32DA1"/>
    <w:rsid w:val="00B372AA"/>
    <w:rsid w:val="00B40445"/>
    <w:rsid w:val="00B409E0"/>
    <w:rsid w:val="00B40D16"/>
    <w:rsid w:val="00B41888"/>
    <w:rsid w:val="00B438B6"/>
    <w:rsid w:val="00B45A52"/>
    <w:rsid w:val="00B46175"/>
    <w:rsid w:val="00B548B7"/>
    <w:rsid w:val="00B623F5"/>
    <w:rsid w:val="00B64F83"/>
    <w:rsid w:val="00B664C7"/>
    <w:rsid w:val="00B671AD"/>
    <w:rsid w:val="00B713B9"/>
    <w:rsid w:val="00B71AA2"/>
    <w:rsid w:val="00B739F6"/>
    <w:rsid w:val="00B73BAA"/>
    <w:rsid w:val="00B77CEF"/>
    <w:rsid w:val="00B81A6C"/>
    <w:rsid w:val="00B841FD"/>
    <w:rsid w:val="00B85854"/>
    <w:rsid w:val="00B85DE5"/>
    <w:rsid w:val="00B90F73"/>
    <w:rsid w:val="00B93B59"/>
    <w:rsid w:val="00B9406A"/>
    <w:rsid w:val="00BA056E"/>
    <w:rsid w:val="00BA0A57"/>
    <w:rsid w:val="00BA2280"/>
    <w:rsid w:val="00BA2A08"/>
    <w:rsid w:val="00BA3F20"/>
    <w:rsid w:val="00BA56D2"/>
    <w:rsid w:val="00BA76E0"/>
    <w:rsid w:val="00BB2A25"/>
    <w:rsid w:val="00BB51E9"/>
    <w:rsid w:val="00BB54D4"/>
    <w:rsid w:val="00BC0FDC"/>
    <w:rsid w:val="00BC3053"/>
    <w:rsid w:val="00BC4D2E"/>
    <w:rsid w:val="00BC5C74"/>
    <w:rsid w:val="00BC6BDB"/>
    <w:rsid w:val="00BD1C7F"/>
    <w:rsid w:val="00BD3226"/>
    <w:rsid w:val="00BD48AC"/>
    <w:rsid w:val="00BD5F1A"/>
    <w:rsid w:val="00BE1234"/>
    <w:rsid w:val="00BE2FA6"/>
    <w:rsid w:val="00BE333F"/>
    <w:rsid w:val="00BE7406"/>
    <w:rsid w:val="00BE7603"/>
    <w:rsid w:val="00BF3279"/>
    <w:rsid w:val="00BF6997"/>
    <w:rsid w:val="00BF74C7"/>
    <w:rsid w:val="00C015F1"/>
    <w:rsid w:val="00C01F33"/>
    <w:rsid w:val="00C02CC6"/>
    <w:rsid w:val="00C040F7"/>
    <w:rsid w:val="00C044AB"/>
    <w:rsid w:val="00C04644"/>
    <w:rsid w:val="00C05706"/>
    <w:rsid w:val="00C07377"/>
    <w:rsid w:val="00C10478"/>
    <w:rsid w:val="00C11BB9"/>
    <w:rsid w:val="00C12107"/>
    <w:rsid w:val="00C13EFA"/>
    <w:rsid w:val="00C14AFA"/>
    <w:rsid w:val="00C14D4B"/>
    <w:rsid w:val="00C154BB"/>
    <w:rsid w:val="00C17C2B"/>
    <w:rsid w:val="00C245FD"/>
    <w:rsid w:val="00C2621D"/>
    <w:rsid w:val="00C268E6"/>
    <w:rsid w:val="00C26CB6"/>
    <w:rsid w:val="00C279B5"/>
    <w:rsid w:val="00C27C45"/>
    <w:rsid w:val="00C3719D"/>
    <w:rsid w:val="00C37CB2"/>
    <w:rsid w:val="00C473A5"/>
    <w:rsid w:val="00C54995"/>
    <w:rsid w:val="00C54D41"/>
    <w:rsid w:val="00C60783"/>
    <w:rsid w:val="00C64672"/>
    <w:rsid w:val="00C65A49"/>
    <w:rsid w:val="00C66AF6"/>
    <w:rsid w:val="00C6709C"/>
    <w:rsid w:val="00C70697"/>
    <w:rsid w:val="00C72093"/>
    <w:rsid w:val="00C72EF4"/>
    <w:rsid w:val="00C7365A"/>
    <w:rsid w:val="00C744FE"/>
    <w:rsid w:val="00C75D2F"/>
    <w:rsid w:val="00C767BE"/>
    <w:rsid w:val="00C76B2F"/>
    <w:rsid w:val="00C76E3C"/>
    <w:rsid w:val="00C81568"/>
    <w:rsid w:val="00C84EC4"/>
    <w:rsid w:val="00C9027A"/>
    <w:rsid w:val="00C9068E"/>
    <w:rsid w:val="00C9229B"/>
    <w:rsid w:val="00C92623"/>
    <w:rsid w:val="00C92FD3"/>
    <w:rsid w:val="00C93814"/>
    <w:rsid w:val="00C93C4B"/>
    <w:rsid w:val="00C944AB"/>
    <w:rsid w:val="00C95B40"/>
    <w:rsid w:val="00C971E1"/>
    <w:rsid w:val="00CA0030"/>
    <w:rsid w:val="00CA1ED8"/>
    <w:rsid w:val="00CA2642"/>
    <w:rsid w:val="00CA47D6"/>
    <w:rsid w:val="00CA5D4C"/>
    <w:rsid w:val="00CA6EDA"/>
    <w:rsid w:val="00CB1F63"/>
    <w:rsid w:val="00CB7170"/>
    <w:rsid w:val="00CC040E"/>
    <w:rsid w:val="00CC111F"/>
    <w:rsid w:val="00CC2011"/>
    <w:rsid w:val="00CC3EA0"/>
    <w:rsid w:val="00CC63D1"/>
    <w:rsid w:val="00CC7B45"/>
    <w:rsid w:val="00CD1188"/>
    <w:rsid w:val="00CD2ED1"/>
    <w:rsid w:val="00CD337B"/>
    <w:rsid w:val="00CE0424"/>
    <w:rsid w:val="00CE580D"/>
    <w:rsid w:val="00CE7561"/>
    <w:rsid w:val="00CF1354"/>
    <w:rsid w:val="00CF3B1F"/>
    <w:rsid w:val="00CF3BF6"/>
    <w:rsid w:val="00CF625B"/>
    <w:rsid w:val="00CF687E"/>
    <w:rsid w:val="00D0094E"/>
    <w:rsid w:val="00D0349B"/>
    <w:rsid w:val="00D10249"/>
    <w:rsid w:val="00D10474"/>
    <w:rsid w:val="00D10B2F"/>
    <w:rsid w:val="00D115C3"/>
    <w:rsid w:val="00D11897"/>
    <w:rsid w:val="00D13135"/>
    <w:rsid w:val="00D13E4E"/>
    <w:rsid w:val="00D239A7"/>
    <w:rsid w:val="00D23F47"/>
    <w:rsid w:val="00D36E71"/>
    <w:rsid w:val="00D37D87"/>
    <w:rsid w:val="00D37E95"/>
    <w:rsid w:val="00D40B33"/>
    <w:rsid w:val="00D4318F"/>
    <w:rsid w:val="00D438BF"/>
    <w:rsid w:val="00D440F8"/>
    <w:rsid w:val="00D5162B"/>
    <w:rsid w:val="00D546FF"/>
    <w:rsid w:val="00D55AD5"/>
    <w:rsid w:val="00D576CA"/>
    <w:rsid w:val="00D61AF5"/>
    <w:rsid w:val="00D652B5"/>
    <w:rsid w:val="00D66155"/>
    <w:rsid w:val="00D708B0"/>
    <w:rsid w:val="00D77B1D"/>
    <w:rsid w:val="00D8021F"/>
    <w:rsid w:val="00D80232"/>
    <w:rsid w:val="00D80383"/>
    <w:rsid w:val="00D823C6"/>
    <w:rsid w:val="00D8327F"/>
    <w:rsid w:val="00D86CA3"/>
    <w:rsid w:val="00D871CE"/>
    <w:rsid w:val="00D9196D"/>
    <w:rsid w:val="00D92982"/>
    <w:rsid w:val="00D94628"/>
    <w:rsid w:val="00DA305E"/>
    <w:rsid w:val="00DA5417"/>
    <w:rsid w:val="00DA56E8"/>
    <w:rsid w:val="00DB0A9F"/>
    <w:rsid w:val="00DB0CF4"/>
    <w:rsid w:val="00DB2D67"/>
    <w:rsid w:val="00DB377D"/>
    <w:rsid w:val="00DC2D36"/>
    <w:rsid w:val="00DC3E48"/>
    <w:rsid w:val="00DC53EF"/>
    <w:rsid w:val="00DC6C70"/>
    <w:rsid w:val="00DD3997"/>
    <w:rsid w:val="00DE5608"/>
    <w:rsid w:val="00DE58D0"/>
    <w:rsid w:val="00DE654F"/>
    <w:rsid w:val="00DF0B6E"/>
    <w:rsid w:val="00DF15E0"/>
    <w:rsid w:val="00DF37A0"/>
    <w:rsid w:val="00E0535C"/>
    <w:rsid w:val="00E10E91"/>
    <w:rsid w:val="00E110E7"/>
    <w:rsid w:val="00E11B20"/>
    <w:rsid w:val="00E12534"/>
    <w:rsid w:val="00E136DE"/>
    <w:rsid w:val="00E17D78"/>
    <w:rsid w:val="00E17FA2"/>
    <w:rsid w:val="00E22330"/>
    <w:rsid w:val="00E26617"/>
    <w:rsid w:val="00E30B5A"/>
    <w:rsid w:val="00E3123D"/>
    <w:rsid w:val="00E31461"/>
    <w:rsid w:val="00E31D43"/>
    <w:rsid w:val="00E32608"/>
    <w:rsid w:val="00E32F54"/>
    <w:rsid w:val="00E34188"/>
    <w:rsid w:val="00E34285"/>
    <w:rsid w:val="00E34B6E"/>
    <w:rsid w:val="00E35559"/>
    <w:rsid w:val="00E3723A"/>
    <w:rsid w:val="00E37860"/>
    <w:rsid w:val="00E446F1"/>
    <w:rsid w:val="00E46886"/>
    <w:rsid w:val="00E47AEF"/>
    <w:rsid w:val="00E51147"/>
    <w:rsid w:val="00E521FB"/>
    <w:rsid w:val="00E53B75"/>
    <w:rsid w:val="00E54A49"/>
    <w:rsid w:val="00E54E3B"/>
    <w:rsid w:val="00E57565"/>
    <w:rsid w:val="00E618A3"/>
    <w:rsid w:val="00E63838"/>
    <w:rsid w:val="00E64434"/>
    <w:rsid w:val="00E67C51"/>
    <w:rsid w:val="00E71430"/>
    <w:rsid w:val="00E72EFC"/>
    <w:rsid w:val="00E734A6"/>
    <w:rsid w:val="00E736A5"/>
    <w:rsid w:val="00E73AF5"/>
    <w:rsid w:val="00E758EC"/>
    <w:rsid w:val="00E812C5"/>
    <w:rsid w:val="00E819F5"/>
    <w:rsid w:val="00E81E61"/>
    <w:rsid w:val="00E8234C"/>
    <w:rsid w:val="00E83AA9"/>
    <w:rsid w:val="00E85928"/>
    <w:rsid w:val="00E87822"/>
    <w:rsid w:val="00E90395"/>
    <w:rsid w:val="00E90E49"/>
    <w:rsid w:val="00E917F9"/>
    <w:rsid w:val="00E9291C"/>
    <w:rsid w:val="00E92E82"/>
    <w:rsid w:val="00E93FFE"/>
    <w:rsid w:val="00E94C89"/>
    <w:rsid w:val="00E94F8A"/>
    <w:rsid w:val="00EA5F34"/>
    <w:rsid w:val="00EA7A41"/>
    <w:rsid w:val="00EB077B"/>
    <w:rsid w:val="00EB4EA2"/>
    <w:rsid w:val="00EC24D5"/>
    <w:rsid w:val="00EC2530"/>
    <w:rsid w:val="00EC27C6"/>
    <w:rsid w:val="00EC4207"/>
    <w:rsid w:val="00EC43E8"/>
    <w:rsid w:val="00EC5653"/>
    <w:rsid w:val="00EC71CE"/>
    <w:rsid w:val="00EC72AB"/>
    <w:rsid w:val="00ED1006"/>
    <w:rsid w:val="00ED53B7"/>
    <w:rsid w:val="00EE0AC6"/>
    <w:rsid w:val="00EE3575"/>
    <w:rsid w:val="00EF18FE"/>
    <w:rsid w:val="00EF3569"/>
    <w:rsid w:val="00EF5787"/>
    <w:rsid w:val="00EF60D0"/>
    <w:rsid w:val="00EF7C34"/>
    <w:rsid w:val="00F0528D"/>
    <w:rsid w:val="00F06C67"/>
    <w:rsid w:val="00F06DFD"/>
    <w:rsid w:val="00F071D1"/>
    <w:rsid w:val="00F07533"/>
    <w:rsid w:val="00F10629"/>
    <w:rsid w:val="00F1481A"/>
    <w:rsid w:val="00F15FA5"/>
    <w:rsid w:val="00F17973"/>
    <w:rsid w:val="00F209B7"/>
    <w:rsid w:val="00F20F5C"/>
    <w:rsid w:val="00F2376F"/>
    <w:rsid w:val="00F243D8"/>
    <w:rsid w:val="00F27884"/>
    <w:rsid w:val="00F30828"/>
    <w:rsid w:val="00F313D6"/>
    <w:rsid w:val="00F336BA"/>
    <w:rsid w:val="00F33BAB"/>
    <w:rsid w:val="00F34B6E"/>
    <w:rsid w:val="00F40F0C"/>
    <w:rsid w:val="00F42A13"/>
    <w:rsid w:val="00F46CC3"/>
    <w:rsid w:val="00F4747B"/>
    <w:rsid w:val="00F4766C"/>
    <w:rsid w:val="00F5060E"/>
    <w:rsid w:val="00F507D1"/>
    <w:rsid w:val="00F519CE"/>
    <w:rsid w:val="00F51ADA"/>
    <w:rsid w:val="00F51C9F"/>
    <w:rsid w:val="00F60203"/>
    <w:rsid w:val="00F607C5"/>
    <w:rsid w:val="00F60DEA"/>
    <w:rsid w:val="00F62EA9"/>
    <w:rsid w:val="00F6302A"/>
    <w:rsid w:val="00F63950"/>
    <w:rsid w:val="00F64C2B"/>
    <w:rsid w:val="00F651BE"/>
    <w:rsid w:val="00F67F53"/>
    <w:rsid w:val="00F703BE"/>
    <w:rsid w:val="00F70BCA"/>
    <w:rsid w:val="00F71F69"/>
    <w:rsid w:val="00F72B72"/>
    <w:rsid w:val="00F74898"/>
    <w:rsid w:val="00F74BB9"/>
    <w:rsid w:val="00F75582"/>
    <w:rsid w:val="00F76EFA"/>
    <w:rsid w:val="00F804BE"/>
    <w:rsid w:val="00F817CE"/>
    <w:rsid w:val="00F8456C"/>
    <w:rsid w:val="00F859D8"/>
    <w:rsid w:val="00F862B4"/>
    <w:rsid w:val="00F868F5"/>
    <w:rsid w:val="00F86CA6"/>
    <w:rsid w:val="00F9056A"/>
    <w:rsid w:val="00F90F8D"/>
    <w:rsid w:val="00F92782"/>
    <w:rsid w:val="00F93AA9"/>
    <w:rsid w:val="00F96985"/>
    <w:rsid w:val="00F97838"/>
    <w:rsid w:val="00FA04EF"/>
    <w:rsid w:val="00FA0D17"/>
    <w:rsid w:val="00FA2BB3"/>
    <w:rsid w:val="00FB16C8"/>
    <w:rsid w:val="00FB4C80"/>
    <w:rsid w:val="00FB673F"/>
    <w:rsid w:val="00FB6A6A"/>
    <w:rsid w:val="00FB7BDA"/>
    <w:rsid w:val="00FC7429"/>
    <w:rsid w:val="00FC7927"/>
    <w:rsid w:val="00FC7ADD"/>
    <w:rsid w:val="00FD07F6"/>
    <w:rsid w:val="00FD1EC8"/>
    <w:rsid w:val="00FD2BCD"/>
    <w:rsid w:val="00FD47ED"/>
    <w:rsid w:val="00FD74DB"/>
    <w:rsid w:val="00FD7660"/>
    <w:rsid w:val="00FD7DA7"/>
    <w:rsid w:val="00FE0655"/>
    <w:rsid w:val="00FE2365"/>
    <w:rsid w:val="00FE3776"/>
    <w:rsid w:val="00FE37D7"/>
    <w:rsid w:val="00FE4C7B"/>
    <w:rsid w:val="00FE7336"/>
    <w:rsid w:val="00FE787C"/>
    <w:rsid w:val="00FE7A5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CDDBFCC2-6474-44B3-B28E-A24DB389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19256296-78C1-42B6-88F5-78D09CBC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1241</TotalTime>
  <Pages>6</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14207</CharactersWithSpaces>
  <SharedDoc>false</SharedDoc>
  <HyperlinkBase/>
  <HLinks>
    <vt:vector size="66" baseType="variant">
      <vt:variant>
        <vt:i4>6291546</vt:i4>
      </vt:variant>
      <vt:variant>
        <vt:i4>63</vt:i4>
      </vt:variant>
      <vt:variant>
        <vt:i4>0</vt:i4>
      </vt:variant>
      <vt:variant>
        <vt:i4>5</vt:i4>
      </vt:variant>
      <vt:variant>
        <vt:lpwstr>https://www.3gpp.org/ftp/tsg_ran/TSG_RAN/TSGR_91e/Docs/RP-210912.zip</vt:lpwstr>
      </vt:variant>
      <vt:variant>
        <vt:lpwstr/>
      </vt:variant>
      <vt:variant>
        <vt:i4>6684766</vt:i4>
      </vt:variant>
      <vt:variant>
        <vt:i4>60</vt:i4>
      </vt:variant>
      <vt:variant>
        <vt:i4>0</vt:i4>
      </vt:variant>
      <vt:variant>
        <vt:i4>5</vt:i4>
      </vt:variant>
      <vt:variant>
        <vt:lpwstr>https://www.3gpp.org/ftp/tsg_ran/TSG_RAN/TSGR_91e/Docs/RP-210855.zip</vt:lpwstr>
      </vt:variant>
      <vt:variant>
        <vt:lpwstr/>
      </vt:variant>
      <vt:variant>
        <vt:i4>6488156</vt:i4>
      </vt:variant>
      <vt:variant>
        <vt:i4>57</vt:i4>
      </vt:variant>
      <vt:variant>
        <vt:i4>0</vt:i4>
      </vt:variant>
      <vt:variant>
        <vt:i4>5</vt:i4>
      </vt:variant>
      <vt:variant>
        <vt:lpwstr>https://www.3gpp.org/ftp/tsg_ran/TSG_RAN/TSGR_91e/Docs/RP-210870.zip</vt:lpwstr>
      </vt:variant>
      <vt:variant>
        <vt:lpwstr/>
      </vt:variant>
      <vt:variant>
        <vt:i4>6946906</vt:i4>
      </vt:variant>
      <vt:variant>
        <vt:i4>54</vt:i4>
      </vt:variant>
      <vt:variant>
        <vt:i4>0</vt:i4>
      </vt:variant>
      <vt:variant>
        <vt:i4>5</vt:i4>
      </vt:variant>
      <vt:variant>
        <vt:lpwstr>https://www.3gpp.org/ftp/tsg_ran/TSG_RAN/TSGR_91e/Docs/RP-210918.zip</vt:lpwstr>
      </vt:variant>
      <vt:variant>
        <vt:lpwstr/>
      </vt:variant>
      <vt:variant>
        <vt:i4>1769520</vt:i4>
      </vt:variant>
      <vt:variant>
        <vt:i4>47</vt:i4>
      </vt:variant>
      <vt:variant>
        <vt:i4>0</vt:i4>
      </vt:variant>
      <vt:variant>
        <vt:i4>5</vt:i4>
      </vt:variant>
      <vt:variant>
        <vt:lpwstr/>
      </vt:variant>
      <vt:variant>
        <vt:lpwstr>_Toc70947098</vt:lpwstr>
      </vt:variant>
      <vt:variant>
        <vt:i4>1310768</vt:i4>
      </vt:variant>
      <vt:variant>
        <vt:i4>44</vt:i4>
      </vt:variant>
      <vt:variant>
        <vt:i4>0</vt:i4>
      </vt:variant>
      <vt:variant>
        <vt:i4>5</vt:i4>
      </vt:variant>
      <vt:variant>
        <vt:lpwstr/>
      </vt:variant>
      <vt:variant>
        <vt:lpwstr>_Toc70947097</vt:lpwstr>
      </vt:variant>
      <vt:variant>
        <vt:i4>1376304</vt:i4>
      </vt:variant>
      <vt:variant>
        <vt:i4>41</vt:i4>
      </vt:variant>
      <vt:variant>
        <vt:i4>0</vt:i4>
      </vt:variant>
      <vt:variant>
        <vt:i4>5</vt:i4>
      </vt:variant>
      <vt:variant>
        <vt:lpwstr/>
      </vt:variant>
      <vt:variant>
        <vt:lpwstr>_Toc70947096</vt:lpwstr>
      </vt:variant>
      <vt:variant>
        <vt:i4>1441840</vt:i4>
      </vt:variant>
      <vt:variant>
        <vt:i4>38</vt:i4>
      </vt:variant>
      <vt:variant>
        <vt:i4>0</vt:i4>
      </vt:variant>
      <vt:variant>
        <vt:i4>5</vt:i4>
      </vt:variant>
      <vt:variant>
        <vt:lpwstr/>
      </vt:variant>
      <vt:variant>
        <vt:lpwstr>_Toc70947095</vt:lpwstr>
      </vt:variant>
      <vt:variant>
        <vt:i4>1507376</vt:i4>
      </vt:variant>
      <vt:variant>
        <vt:i4>35</vt:i4>
      </vt:variant>
      <vt:variant>
        <vt:i4>0</vt:i4>
      </vt:variant>
      <vt:variant>
        <vt:i4>5</vt:i4>
      </vt:variant>
      <vt:variant>
        <vt:lpwstr/>
      </vt:variant>
      <vt:variant>
        <vt:lpwstr>_Toc70947094</vt:lpwstr>
      </vt:variant>
      <vt:variant>
        <vt:i4>1048624</vt:i4>
      </vt:variant>
      <vt:variant>
        <vt:i4>32</vt:i4>
      </vt:variant>
      <vt:variant>
        <vt:i4>0</vt:i4>
      </vt:variant>
      <vt:variant>
        <vt:i4>5</vt:i4>
      </vt:variant>
      <vt:variant>
        <vt:lpwstr/>
      </vt:variant>
      <vt:variant>
        <vt:lpwstr>_Toc70947093</vt:lpwstr>
      </vt:variant>
      <vt:variant>
        <vt:i4>1114160</vt:i4>
      </vt:variant>
      <vt:variant>
        <vt:i4>29</vt:i4>
      </vt:variant>
      <vt:variant>
        <vt:i4>0</vt:i4>
      </vt:variant>
      <vt:variant>
        <vt:i4>5</vt:i4>
      </vt:variant>
      <vt:variant>
        <vt:lpwstr/>
      </vt:variant>
      <vt:variant>
        <vt:lpwstr>_Toc70947092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129</cp:revision>
  <cp:lastPrinted>2008-02-01T01:09:00Z</cp:lastPrinted>
  <dcterms:created xsi:type="dcterms:W3CDTF">2021-04-30T22:35:00Z</dcterms:created>
  <dcterms:modified xsi:type="dcterms:W3CDTF">2021-05-10T18:55:00Z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